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D1ABE" w14:textId="77777777" w:rsidR="00D5547E" w:rsidRPr="009E51FC" w:rsidRDefault="00D5547E" w:rsidP="00AC39D3">
      <w:pPr>
        <w:jc w:val="both"/>
      </w:pPr>
    </w:p>
    <w:tbl>
      <w:tblPr>
        <w:tblW w:w="0" w:type="auto"/>
        <w:tblInd w:w="108" w:type="dxa"/>
        <w:tblLayout w:type="fixed"/>
        <w:tblLook w:val="04A0" w:firstRow="1" w:lastRow="0" w:firstColumn="1" w:lastColumn="0" w:noHBand="0" w:noVBand="1"/>
      </w:tblPr>
      <w:tblGrid>
        <w:gridCol w:w="426"/>
        <w:gridCol w:w="2012"/>
        <w:gridCol w:w="6407"/>
      </w:tblGrid>
      <w:tr w:rsidR="00CE544A" w:rsidRPr="00975B07" w14:paraId="3D98B01D" w14:textId="77777777" w:rsidTr="005F7F7E">
        <w:tc>
          <w:tcPr>
            <w:tcW w:w="2438" w:type="dxa"/>
            <w:gridSpan w:val="2"/>
            <w:shd w:val="clear" w:color="auto" w:fill="auto"/>
          </w:tcPr>
          <w:p w14:paraId="25B7C71D" w14:textId="77777777" w:rsidR="00F445B1" w:rsidRPr="00975B07" w:rsidRDefault="00F445B1" w:rsidP="00AC39D3">
            <w:pPr>
              <w:jc w:val="both"/>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65E6015" w14:textId="77777777" w:rsidR="00F445B1" w:rsidRPr="00F95BC9" w:rsidRDefault="00F445B1" w:rsidP="00AC39D3">
            <w:pPr>
              <w:jc w:val="both"/>
              <w:rPr>
                <w:rStyle w:val="Firstpagetablebold"/>
              </w:rPr>
            </w:pPr>
            <w:r w:rsidRPr="00F95BC9">
              <w:rPr>
                <w:rStyle w:val="Firstpagetablebold"/>
              </w:rPr>
              <w:t>City Executive Board</w:t>
            </w:r>
          </w:p>
        </w:tc>
      </w:tr>
      <w:tr w:rsidR="00CE544A" w:rsidRPr="00975B07" w14:paraId="244158CC" w14:textId="77777777" w:rsidTr="005F7F7E">
        <w:tc>
          <w:tcPr>
            <w:tcW w:w="2438" w:type="dxa"/>
            <w:gridSpan w:val="2"/>
            <w:shd w:val="clear" w:color="auto" w:fill="auto"/>
          </w:tcPr>
          <w:p w14:paraId="25A92200" w14:textId="77777777" w:rsidR="00F445B1" w:rsidRPr="00975B07" w:rsidRDefault="00F445B1" w:rsidP="00AC39D3">
            <w:pPr>
              <w:jc w:val="both"/>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48A2F31" w14:textId="77777777" w:rsidR="00F445B1" w:rsidRPr="001356F1" w:rsidRDefault="009142CE" w:rsidP="00B33DF5">
            <w:pPr>
              <w:jc w:val="both"/>
              <w:rPr>
                <w:b/>
              </w:rPr>
            </w:pPr>
            <w:r>
              <w:rPr>
                <w:b/>
              </w:rPr>
              <w:t>21</w:t>
            </w:r>
            <w:r w:rsidRPr="009142CE">
              <w:rPr>
                <w:b/>
                <w:vertAlign w:val="superscript"/>
              </w:rPr>
              <w:t>st</w:t>
            </w:r>
            <w:r w:rsidR="00A509FF">
              <w:rPr>
                <w:b/>
              </w:rPr>
              <w:t xml:space="preserve"> </w:t>
            </w:r>
            <w:r w:rsidR="00B33DF5">
              <w:rPr>
                <w:b/>
              </w:rPr>
              <w:t xml:space="preserve">November </w:t>
            </w:r>
            <w:r w:rsidR="006B4F54">
              <w:rPr>
                <w:b/>
              </w:rPr>
              <w:t>2017</w:t>
            </w:r>
          </w:p>
        </w:tc>
      </w:tr>
      <w:tr w:rsidR="00CE544A" w:rsidRPr="00975B07" w14:paraId="436FF97F" w14:textId="77777777" w:rsidTr="005F7F7E">
        <w:tc>
          <w:tcPr>
            <w:tcW w:w="2438" w:type="dxa"/>
            <w:gridSpan w:val="2"/>
            <w:shd w:val="clear" w:color="auto" w:fill="auto"/>
          </w:tcPr>
          <w:p w14:paraId="79F85675" w14:textId="77777777" w:rsidR="00F445B1" w:rsidRPr="00975B07" w:rsidRDefault="00F445B1" w:rsidP="00AC39D3">
            <w:pPr>
              <w:jc w:val="both"/>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719CA3A" w14:textId="77777777" w:rsidR="00F445B1" w:rsidRPr="001356F1" w:rsidRDefault="00F445B1" w:rsidP="00AC39D3">
            <w:pPr>
              <w:jc w:val="both"/>
              <w:rPr>
                <w:rStyle w:val="Firstpagetablebold"/>
              </w:rPr>
            </w:pPr>
            <w:r w:rsidRPr="001356F1">
              <w:rPr>
                <w:rStyle w:val="Firstpagetablebold"/>
              </w:rPr>
              <w:t xml:space="preserve">Head of </w:t>
            </w:r>
            <w:r w:rsidR="00F65114">
              <w:rPr>
                <w:rStyle w:val="Firstpagetablebold"/>
              </w:rPr>
              <w:t xml:space="preserve">Community </w:t>
            </w:r>
            <w:r w:rsidRPr="001356F1">
              <w:rPr>
                <w:rStyle w:val="Firstpagetablebold"/>
              </w:rPr>
              <w:t>Service</w:t>
            </w:r>
            <w:r w:rsidR="00F65114">
              <w:rPr>
                <w:rStyle w:val="Firstpagetablebold"/>
              </w:rPr>
              <w:t>s</w:t>
            </w:r>
          </w:p>
        </w:tc>
      </w:tr>
      <w:tr w:rsidR="00CE544A" w:rsidRPr="00975B07" w14:paraId="72928637" w14:textId="77777777" w:rsidTr="005F7F7E">
        <w:tc>
          <w:tcPr>
            <w:tcW w:w="2438" w:type="dxa"/>
            <w:gridSpan w:val="2"/>
            <w:shd w:val="clear" w:color="auto" w:fill="auto"/>
          </w:tcPr>
          <w:p w14:paraId="39C36297" w14:textId="77777777" w:rsidR="00F445B1" w:rsidRPr="00975B07" w:rsidRDefault="00F445B1" w:rsidP="00AC39D3">
            <w:pPr>
              <w:jc w:val="both"/>
              <w:rPr>
                <w:rStyle w:val="Firstpagetablebold"/>
              </w:rPr>
            </w:pPr>
            <w:r w:rsidRPr="00975B07">
              <w:rPr>
                <w:rStyle w:val="Firstpagetablebold"/>
              </w:rPr>
              <w:t xml:space="preserve">Title of Report: </w:t>
            </w:r>
          </w:p>
        </w:tc>
        <w:tc>
          <w:tcPr>
            <w:tcW w:w="6406" w:type="dxa"/>
            <w:shd w:val="clear" w:color="auto" w:fill="auto"/>
          </w:tcPr>
          <w:p w14:paraId="17AA1273" w14:textId="77777777" w:rsidR="00F445B1" w:rsidRPr="001356F1" w:rsidRDefault="007C4874" w:rsidP="00AC39D3">
            <w:pPr>
              <w:jc w:val="both"/>
              <w:rPr>
                <w:rStyle w:val="Firstpagetablebold"/>
              </w:rPr>
            </w:pPr>
            <w:r>
              <w:rPr>
                <w:rStyle w:val="Firstpagetablebold"/>
              </w:rPr>
              <w:t>Review of the Community Grants Programme</w:t>
            </w:r>
          </w:p>
        </w:tc>
      </w:tr>
      <w:tr w:rsidR="00D5547E" w14:paraId="306F4D12"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14:paraId="7A33CDE9" w14:textId="77777777" w:rsidR="00D5547E" w:rsidRDefault="00745BF0" w:rsidP="00AC39D3">
            <w:pPr>
              <w:jc w:val="both"/>
              <w:rPr>
                <w:rStyle w:val="Firstpagetablebold"/>
              </w:rPr>
            </w:pPr>
            <w:r>
              <w:rPr>
                <w:rStyle w:val="Firstpagetablebold"/>
              </w:rPr>
              <w:t>Summary and r</w:t>
            </w:r>
            <w:r w:rsidR="00D5547E">
              <w:rPr>
                <w:rStyle w:val="Firstpagetablebold"/>
              </w:rPr>
              <w:t>ecommendations</w:t>
            </w:r>
          </w:p>
        </w:tc>
      </w:tr>
      <w:tr w:rsidR="00D5547E" w14:paraId="49DDE316"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14:paraId="38EC74E5" w14:textId="77777777" w:rsidR="00D5547E" w:rsidRDefault="00D5547E" w:rsidP="00AC39D3">
            <w:pPr>
              <w:jc w:val="both"/>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24D485C" w14:textId="77777777" w:rsidR="00D5547E" w:rsidRPr="001356F1" w:rsidRDefault="008E456B" w:rsidP="007747EE">
            <w:pPr>
              <w:jc w:val="both"/>
            </w:pPr>
            <w:r>
              <w:t>To</w:t>
            </w:r>
            <w:r w:rsidR="00CA62E6">
              <w:t xml:space="preserve"> </w:t>
            </w:r>
            <w:r w:rsidR="007747EE">
              <w:t xml:space="preserve">update the City Executive Board on the review of the  grants and commissioning programme and propose how it can be further improved </w:t>
            </w:r>
          </w:p>
        </w:tc>
      </w:tr>
      <w:tr w:rsidR="00D5547E" w14:paraId="53532C63"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605DB1E2" w14:textId="77777777" w:rsidR="00D5547E" w:rsidRDefault="00D5547E" w:rsidP="00AC39D3">
            <w:pPr>
              <w:jc w:val="both"/>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57E24B7" w14:textId="77777777" w:rsidR="00D5547E" w:rsidRPr="001356F1" w:rsidRDefault="00D5547E" w:rsidP="00AC39D3">
            <w:pPr>
              <w:jc w:val="both"/>
            </w:pPr>
            <w:r w:rsidRPr="001356F1">
              <w:t>Yes</w:t>
            </w:r>
          </w:p>
        </w:tc>
      </w:tr>
      <w:tr w:rsidR="00D5547E" w14:paraId="793802E7"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38DABCBD" w14:textId="77777777" w:rsidR="00D5547E" w:rsidRDefault="00D5547E" w:rsidP="00AC39D3">
            <w:pPr>
              <w:jc w:val="both"/>
              <w:rPr>
                <w:rStyle w:val="Firstpagetablebold"/>
              </w:rPr>
            </w:pPr>
            <w:r>
              <w:rPr>
                <w:rStyle w:val="Firstpagetablebold"/>
              </w:rPr>
              <w:t>Executive Board Member</w:t>
            </w:r>
            <w:r w:rsidR="00993481">
              <w:rPr>
                <w:rStyle w:val="Firstpagetablebold"/>
              </w:rPr>
              <w:t>(s)</w:t>
            </w:r>
            <w:r>
              <w:rPr>
                <w:rStyle w:val="Firstpagetablebold"/>
              </w:rPr>
              <w:t>:</w:t>
            </w:r>
          </w:p>
        </w:tc>
        <w:tc>
          <w:tcPr>
            <w:tcW w:w="6407" w:type="dxa"/>
            <w:tcBorders>
              <w:top w:val="nil"/>
              <w:left w:val="nil"/>
              <w:bottom w:val="nil"/>
              <w:right w:val="single" w:sz="8" w:space="0" w:color="000000"/>
            </w:tcBorders>
            <w:hideMark/>
          </w:tcPr>
          <w:p w14:paraId="3A877248" w14:textId="77777777" w:rsidR="00D5547E" w:rsidRPr="001356F1" w:rsidRDefault="00AC39D3" w:rsidP="00C46F50">
            <w:pPr>
              <w:jc w:val="both"/>
            </w:pPr>
            <w:r>
              <w:t xml:space="preserve">Councillor </w:t>
            </w:r>
            <w:r w:rsidR="00C46F50">
              <w:t>Dee Sinclair, Culture and Communities</w:t>
            </w:r>
            <w:r w:rsidR="00A509FF">
              <w:t xml:space="preserve"> and Councillor Susan Brown, Customer and Corporate Services</w:t>
            </w:r>
          </w:p>
        </w:tc>
      </w:tr>
      <w:tr w:rsidR="0080749A" w14:paraId="14491B64"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14:paraId="74D45472" w14:textId="77777777" w:rsidR="0080749A" w:rsidRDefault="0080749A" w:rsidP="00AC39D3">
            <w:pPr>
              <w:jc w:val="both"/>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10B8956C" w14:textId="06A3C59A" w:rsidR="0080749A" w:rsidRPr="001356F1" w:rsidRDefault="008E456B" w:rsidP="00AC39D3">
            <w:pPr>
              <w:jc w:val="both"/>
            </w:pPr>
            <w:r>
              <w:t>Strong and Active Communities</w:t>
            </w:r>
          </w:p>
        </w:tc>
      </w:tr>
      <w:tr w:rsidR="00D5547E" w14:paraId="6FB57E3A"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53AC85EC" w14:textId="77777777" w:rsidR="00D5547E" w:rsidRDefault="00D5547E" w:rsidP="00AC39D3">
            <w:pPr>
              <w:jc w:val="both"/>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1C9A8A39" w14:textId="77777777" w:rsidR="00D5547E" w:rsidRPr="001356F1" w:rsidRDefault="008E456B" w:rsidP="00AC39D3">
            <w:pPr>
              <w:jc w:val="both"/>
            </w:pPr>
            <w:r>
              <w:t>Oxford City Council Corporate Plan</w:t>
            </w:r>
          </w:p>
        </w:tc>
      </w:tr>
      <w:tr w:rsidR="005F7F7E" w:rsidRPr="00975B07" w14:paraId="5D9CA301"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14:paraId="20B868E3" w14:textId="77777777" w:rsidR="005F7F7E" w:rsidRPr="00975B07" w:rsidRDefault="005F7F7E" w:rsidP="00AC39D3">
            <w:pPr>
              <w:jc w:val="both"/>
            </w:pPr>
            <w:r>
              <w:rPr>
                <w:rStyle w:val="Firstpagetablebold"/>
              </w:rPr>
              <w:t>Recommendation(s):That the City Executive Board resolves to:</w:t>
            </w:r>
          </w:p>
        </w:tc>
      </w:tr>
      <w:tr w:rsidR="0030208D" w:rsidRPr="00975B07" w14:paraId="3555A234"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14:paraId="5D2655B2" w14:textId="77777777" w:rsidR="0030208D" w:rsidRPr="00975B07" w:rsidRDefault="00F60AB4" w:rsidP="00AC39D3">
            <w:pPr>
              <w:jc w:val="both"/>
            </w:pPr>
            <w:r>
              <w:t>1</w:t>
            </w:r>
            <w:r w:rsidR="00046D2B" w:rsidRPr="00975B07">
              <w:t>.</w:t>
            </w:r>
          </w:p>
        </w:tc>
        <w:tc>
          <w:tcPr>
            <w:tcW w:w="8419" w:type="dxa"/>
            <w:gridSpan w:val="2"/>
            <w:tcBorders>
              <w:top w:val="nil"/>
              <w:left w:val="nil"/>
              <w:bottom w:val="nil"/>
              <w:right w:val="single" w:sz="8" w:space="0" w:color="000000"/>
            </w:tcBorders>
            <w:shd w:val="clear" w:color="auto" w:fill="auto"/>
          </w:tcPr>
          <w:p w14:paraId="22B282EE" w14:textId="77777777" w:rsidR="0030208D" w:rsidRPr="00EB1946" w:rsidRDefault="00EB1946" w:rsidP="007747EE">
            <w:pPr>
              <w:jc w:val="both"/>
            </w:pPr>
            <w:r w:rsidRPr="00EB1946">
              <w:t>Approve</w:t>
            </w:r>
            <w:r>
              <w:t xml:space="preserve"> the </w:t>
            </w:r>
            <w:r w:rsidR="0007422E">
              <w:t xml:space="preserve">commissioning </w:t>
            </w:r>
            <w:r>
              <w:t xml:space="preserve">funding themes </w:t>
            </w:r>
            <w:r w:rsidR="0007422E">
              <w:t xml:space="preserve">and enter into </w:t>
            </w:r>
            <w:r w:rsidR="007747EE">
              <w:t>three</w:t>
            </w:r>
            <w:r w:rsidR="0007422E">
              <w:t xml:space="preserve"> year funding agreements with community and voluntary organisations</w:t>
            </w:r>
            <w:r w:rsidR="006357A9">
              <w:t xml:space="preserve"> through </w:t>
            </w:r>
            <w:r w:rsidR="00F60AB4">
              <w:t>the commissioning</w:t>
            </w:r>
            <w:r w:rsidR="006357A9">
              <w:t xml:space="preserve"> progr</w:t>
            </w:r>
            <w:r w:rsidR="0045266F">
              <w:t>amme</w:t>
            </w:r>
            <w:r w:rsidR="00F2512C">
              <w:t xml:space="preserve"> from April 2018</w:t>
            </w:r>
            <w:r w:rsidR="007B4609">
              <w:t xml:space="preserve"> </w:t>
            </w:r>
            <w:r w:rsidR="00984FF4">
              <w:t>(</w:t>
            </w:r>
            <w:r w:rsidR="007B4609">
              <w:t>subject to a three year budget being approved by Council</w:t>
            </w:r>
            <w:r w:rsidR="00984FF4">
              <w:t>)</w:t>
            </w:r>
            <w:r w:rsidR="007B4609">
              <w:t xml:space="preserve">. </w:t>
            </w:r>
          </w:p>
        </w:tc>
      </w:tr>
      <w:tr w:rsidR="00232F5B" w:rsidRPr="00975B07" w14:paraId="7E339F10"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14:paraId="313C7225" w14:textId="77777777" w:rsidR="0030208D" w:rsidRPr="00975B07" w:rsidRDefault="00F60AB4" w:rsidP="00AC39D3">
            <w:pPr>
              <w:jc w:val="both"/>
            </w:pPr>
            <w:r>
              <w:t>2</w:t>
            </w:r>
            <w:r w:rsidR="00046D2B" w:rsidRPr="00975B07">
              <w:t>.</w:t>
            </w:r>
          </w:p>
        </w:tc>
        <w:tc>
          <w:tcPr>
            <w:tcW w:w="8419" w:type="dxa"/>
            <w:gridSpan w:val="2"/>
            <w:tcBorders>
              <w:top w:val="nil"/>
              <w:left w:val="nil"/>
              <w:bottom w:val="nil"/>
              <w:right w:val="single" w:sz="8" w:space="0" w:color="000000"/>
            </w:tcBorders>
            <w:shd w:val="clear" w:color="auto" w:fill="auto"/>
          </w:tcPr>
          <w:p w14:paraId="76F3B354" w14:textId="77777777" w:rsidR="0045266F" w:rsidRPr="0045266F" w:rsidRDefault="0045266F" w:rsidP="0060771B">
            <w:pPr>
              <w:jc w:val="both"/>
              <w:rPr>
                <w:b/>
              </w:rPr>
            </w:pPr>
            <w:r>
              <w:rPr>
                <w:rStyle w:val="Firstpagetablebold"/>
                <w:b w:val="0"/>
              </w:rPr>
              <w:t>A</w:t>
            </w:r>
            <w:r w:rsidR="0060771B">
              <w:rPr>
                <w:rStyle w:val="Firstpagetablebold"/>
                <w:b w:val="0"/>
              </w:rPr>
              <w:t>gree that</w:t>
            </w:r>
            <w:r w:rsidR="00306530">
              <w:rPr>
                <w:rStyle w:val="Firstpagetablebold"/>
                <w:b w:val="0"/>
              </w:rPr>
              <w:t xml:space="preserve"> the Community and Voluntary Sector Infrastructure </w:t>
            </w:r>
            <w:proofErr w:type="gramStart"/>
            <w:r w:rsidR="006C3130">
              <w:rPr>
                <w:rStyle w:val="Firstpagetablebold"/>
                <w:b w:val="0"/>
              </w:rPr>
              <w:t xml:space="preserve">and </w:t>
            </w:r>
            <w:r w:rsidR="00E970AD">
              <w:rPr>
                <w:rStyle w:val="Firstpagetablebold"/>
                <w:b w:val="0"/>
              </w:rPr>
              <w:t xml:space="preserve"> </w:t>
            </w:r>
            <w:r w:rsidR="006C3130">
              <w:rPr>
                <w:rStyle w:val="Firstpagetablebold"/>
                <w:b w:val="0"/>
              </w:rPr>
              <w:t>Inclusive</w:t>
            </w:r>
            <w:proofErr w:type="gramEnd"/>
            <w:r w:rsidR="006C3130">
              <w:rPr>
                <w:rStyle w:val="Firstpagetablebold"/>
                <w:b w:val="0"/>
              </w:rPr>
              <w:t xml:space="preserve"> Arts and Culture </w:t>
            </w:r>
            <w:r w:rsidR="00306530">
              <w:rPr>
                <w:rStyle w:val="Firstpagetablebold"/>
                <w:b w:val="0"/>
              </w:rPr>
              <w:t>commissioning theme</w:t>
            </w:r>
            <w:r w:rsidR="006C3130">
              <w:rPr>
                <w:rStyle w:val="Firstpagetablebold"/>
                <w:b w:val="0"/>
              </w:rPr>
              <w:t>s</w:t>
            </w:r>
            <w:r w:rsidR="00F2512C">
              <w:rPr>
                <w:rStyle w:val="Firstpagetablebold"/>
                <w:b w:val="0"/>
              </w:rPr>
              <w:t xml:space="preserve"> </w:t>
            </w:r>
            <w:r w:rsidR="0060771B">
              <w:rPr>
                <w:rStyle w:val="Firstpagetablebold"/>
                <w:b w:val="0"/>
              </w:rPr>
              <w:t>are</w:t>
            </w:r>
            <w:r w:rsidR="00832C35">
              <w:rPr>
                <w:rStyle w:val="Firstpagetablebold"/>
                <w:b w:val="0"/>
              </w:rPr>
              <w:t xml:space="preserve"> put out to </w:t>
            </w:r>
            <w:r w:rsidR="006B79CD">
              <w:rPr>
                <w:rStyle w:val="Firstpagetablebold"/>
                <w:b w:val="0"/>
              </w:rPr>
              <w:t>open bidding</w:t>
            </w:r>
            <w:r w:rsidR="00832C35">
              <w:rPr>
                <w:rStyle w:val="Firstpagetablebold"/>
                <w:b w:val="0"/>
              </w:rPr>
              <w:t xml:space="preserve"> </w:t>
            </w:r>
            <w:r w:rsidR="00F2512C">
              <w:rPr>
                <w:rStyle w:val="Firstpagetablebold"/>
                <w:b w:val="0"/>
              </w:rPr>
              <w:t>from April 2018</w:t>
            </w:r>
            <w:r w:rsidR="00832C35">
              <w:rPr>
                <w:rStyle w:val="Firstpagetablebold"/>
                <w:b w:val="0"/>
              </w:rPr>
              <w:t xml:space="preserve"> </w:t>
            </w:r>
            <w:r w:rsidR="006B79CD">
              <w:rPr>
                <w:rStyle w:val="Firstpagetablebold"/>
                <w:b w:val="0"/>
              </w:rPr>
              <w:t xml:space="preserve">and April 2019 respectively </w:t>
            </w:r>
            <w:r w:rsidR="0060771B">
              <w:rPr>
                <w:rStyle w:val="Firstpagetablebold"/>
                <w:b w:val="0"/>
              </w:rPr>
              <w:t xml:space="preserve">as </w:t>
            </w:r>
            <w:r w:rsidR="00832C35">
              <w:rPr>
                <w:rStyle w:val="Firstpagetablebold"/>
                <w:b w:val="0"/>
              </w:rPr>
              <w:t xml:space="preserve">outlined in paragraphs </w:t>
            </w:r>
            <w:r w:rsidR="006B79CD">
              <w:rPr>
                <w:rStyle w:val="Firstpagetablebold"/>
                <w:b w:val="0"/>
              </w:rPr>
              <w:t xml:space="preserve">20 </w:t>
            </w:r>
            <w:r w:rsidR="00EF003C">
              <w:rPr>
                <w:rStyle w:val="Firstpagetablebold"/>
                <w:b w:val="0"/>
              </w:rPr>
              <w:t>–</w:t>
            </w:r>
            <w:r w:rsidR="006B79CD">
              <w:rPr>
                <w:rStyle w:val="Firstpagetablebold"/>
                <w:b w:val="0"/>
              </w:rPr>
              <w:t xml:space="preserve"> 2</w:t>
            </w:r>
            <w:r w:rsidR="00B33DF5">
              <w:rPr>
                <w:rStyle w:val="Firstpagetablebold"/>
                <w:b w:val="0"/>
              </w:rPr>
              <w:t>9</w:t>
            </w:r>
            <w:r w:rsidR="00832C35">
              <w:rPr>
                <w:rStyle w:val="Firstpagetablebold"/>
                <w:b w:val="0"/>
              </w:rPr>
              <w:t>.</w:t>
            </w:r>
          </w:p>
        </w:tc>
      </w:tr>
      <w:tr w:rsidR="00276600" w:rsidRPr="00975B07" w14:paraId="68B5FD9A" w14:textId="77777777" w:rsidTr="001E5C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14:paraId="1D6A2B44" w14:textId="77777777" w:rsidR="00276600" w:rsidRDefault="00276600" w:rsidP="00AC39D3">
            <w:pPr>
              <w:jc w:val="both"/>
            </w:pPr>
            <w:r>
              <w:t>3</w:t>
            </w:r>
            <w:r w:rsidR="00E5764A">
              <w:t>.</w:t>
            </w:r>
          </w:p>
        </w:tc>
        <w:tc>
          <w:tcPr>
            <w:tcW w:w="8419" w:type="dxa"/>
            <w:gridSpan w:val="2"/>
            <w:tcBorders>
              <w:top w:val="nil"/>
              <w:left w:val="nil"/>
              <w:bottom w:val="nil"/>
              <w:right w:val="single" w:sz="8" w:space="0" w:color="000000"/>
            </w:tcBorders>
            <w:shd w:val="clear" w:color="auto" w:fill="auto"/>
          </w:tcPr>
          <w:p w14:paraId="0D0A8C53" w14:textId="7A8EA875" w:rsidR="00276600" w:rsidRDefault="00B423DE" w:rsidP="0060771B">
            <w:pPr>
              <w:jc w:val="both"/>
            </w:pPr>
            <w:r>
              <w:t>A</w:t>
            </w:r>
            <w:r w:rsidR="0060771B">
              <w:t>gree that</w:t>
            </w:r>
            <w:r w:rsidR="00276600">
              <w:t xml:space="preserve"> the </w:t>
            </w:r>
            <w:r>
              <w:t xml:space="preserve">Advice and </w:t>
            </w:r>
            <w:r w:rsidR="00E5764A">
              <w:t>M</w:t>
            </w:r>
            <w:r>
              <w:t>oney M</w:t>
            </w:r>
            <w:r w:rsidR="00276600">
              <w:t xml:space="preserve">anagement commissioning </w:t>
            </w:r>
            <w:proofErr w:type="gramStart"/>
            <w:r w:rsidR="00276600">
              <w:t xml:space="preserve">theme </w:t>
            </w:r>
            <w:r w:rsidR="00832C35">
              <w:t xml:space="preserve"> </w:t>
            </w:r>
            <w:r w:rsidR="00622B2E">
              <w:t>retains</w:t>
            </w:r>
            <w:proofErr w:type="gramEnd"/>
            <w:r w:rsidR="00622B2E">
              <w:t xml:space="preserve"> a similar</w:t>
            </w:r>
            <w:r w:rsidR="00832C35">
              <w:t xml:space="preserve"> approach </w:t>
            </w:r>
            <w:r w:rsidR="00053BD4">
              <w:t>to</w:t>
            </w:r>
            <w:r w:rsidR="00832C35">
              <w:t xml:space="preserve"> strategic grant funding </w:t>
            </w:r>
            <w:r w:rsidR="00053BD4">
              <w:t xml:space="preserve">as </w:t>
            </w:r>
            <w:r w:rsidR="00AE506F">
              <w:t xml:space="preserve">now, but with the </w:t>
            </w:r>
            <w:r w:rsidR="0060771B">
              <w:t xml:space="preserve">creation of a service development fund of </w:t>
            </w:r>
            <w:r w:rsidR="00276600">
              <w:t>£</w:t>
            </w:r>
            <w:r w:rsidR="00832C35">
              <w:t xml:space="preserve">44,918 </w:t>
            </w:r>
            <w:r w:rsidR="00AE506F">
              <w:t xml:space="preserve">per annum </w:t>
            </w:r>
            <w:r w:rsidR="00793C49">
              <w:t>as set out paragraph 35</w:t>
            </w:r>
            <w:r w:rsidR="0060771B">
              <w:t>.</w:t>
            </w:r>
          </w:p>
        </w:tc>
      </w:tr>
      <w:tr w:rsidR="00232F5B" w:rsidRPr="00975B07" w14:paraId="76178C44" w14:textId="77777777" w:rsidTr="001E5C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14:paraId="28CEF8A7" w14:textId="77777777" w:rsidR="0030208D" w:rsidRPr="00975B07" w:rsidRDefault="00276600" w:rsidP="00AC39D3">
            <w:pPr>
              <w:jc w:val="both"/>
            </w:pPr>
            <w:r>
              <w:t>4</w:t>
            </w:r>
            <w:r w:rsidR="00E5764A">
              <w:t>.</w:t>
            </w:r>
          </w:p>
        </w:tc>
        <w:tc>
          <w:tcPr>
            <w:tcW w:w="8419" w:type="dxa"/>
            <w:gridSpan w:val="2"/>
            <w:tcBorders>
              <w:top w:val="nil"/>
              <w:left w:val="nil"/>
              <w:bottom w:val="nil"/>
              <w:right w:val="single" w:sz="8" w:space="0" w:color="000000"/>
            </w:tcBorders>
            <w:shd w:val="clear" w:color="auto" w:fill="auto"/>
          </w:tcPr>
          <w:p w14:paraId="2725F43D" w14:textId="77777777" w:rsidR="001E5C15" w:rsidRPr="001356F1" w:rsidRDefault="0045266F" w:rsidP="006B79CD">
            <w:pPr>
              <w:jc w:val="both"/>
            </w:pPr>
            <w:r>
              <w:t xml:space="preserve">Approve a </w:t>
            </w:r>
            <w:r w:rsidR="00EF003C">
              <w:t>three</w:t>
            </w:r>
            <w:r>
              <w:t xml:space="preserve"> year funding programme for the open bidding grants programme</w:t>
            </w:r>
            <w:r w:rsidR="00F60AB4">
              <w:t xml:space="preserve"> </w:t>
            </w:r>
            <w:r w:rsidR="00F2512C">
              <w:t>from April 2018</w:t>
            </w:r>
            <w:r w:rsidR="007B4609">
              <w:t xml:space="preserve"> </w:t>
            </w:r>
            <w:r w:rsidR="00984FF4">
              <w:t>(</w:t>
            </w:r>
            <w:r w:rsidR="007B4609">
              <w:t>subject to a three year budget being approved by Council</w:t>
            </w:r>
            <w:r w:rsidR="00984FF4">
              <w:t>)</w:t>
            </w:r>
            <w:r w:rsidR="00EF003C">
              <w:t>.</w:t>
            </w:r>
          </w:p>
        </w:tc>
      </w:tr>
      <w:tr w:rsidR="001E5C15" w:rsidRPr="00975B07" w14:paraId="64C08ACC" w14:textId="77777777" w:rsidTr="001E5C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14:paraId="006D112E" w14:textId="77777777" w:rsidR="001E5C15" w:rsidRDefault="00276600" w:rsidP="00AC39D3">
            <w:pPr>
              <w:jc w:val="both"/>
            </w:pPr>
            <w:r>
              <w:t>5</w:t>
            </w:r>
            <w:r w:rsidR="00E5764A">
              <w:t>.</w:t>
            </w:r>
          </w:p>
        </w:tc>
        <w:tc>
          <w:tcPr>
            <w:tcW w:w="8419" w:type="dxa"/>
            <w:gridSpan w:val="2"/>
            <w:tcBorders>
              <w:top w:val="nil"/>
              <w:left w:val="nil"/>
              <w:bottom w:val="nil"/>
              <w:right w:val="single" w:sz="8" w:space="0" w:color="000000"/>
            </w:tcBorders>
            <w:shd w:val="clear" w:color="auto" w:fill="auto"/>
          </w:tcPr>
          <w:p w14:paraId="7338CA94" w14:textId="6017B155" w:rsidR="001E5C15" w:rsidRDefault="008A5776" w:rsidP="00A72F35">
            <w:pPr>
              <w:jc w:val="both"/>
            </w:pPr>
            <w:r>
              <w:t xml:space="preserve">Approve the proposals listed in the report at paragraph </w:t>
            </w:r>
            <w:r w:rsidR="006B79CD">
              <w:t>4</w:t>
            </w:r>
            <w:r w:rsidR="00793C49">
              <w:t>6</w:t>
            </w:r>
            <w:r w:rsidR="00AC39D3">
              <w:t>.</w:t>
            </w:r>
          </w:p>
        </w:tc>
      </w:tr>
      <w:tr w:rsidR="00966D42" w:rsidRPr="00975B07" w14:paraId="2617D039" w14:textId="77777777" w:rsidTr="007B4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14:paraId="6DF014AF" w14:textId="77777777" w:rsidR="002F3D9F" w:rsidRDefault="002F3D9F" w:rsidP="00AC39D3">
            <w:pPr>
              <w:jc w:val="both"/>
              <w:rPr>
                <w:rStyle w:val="Firstpagetablebold"/>
              </w:rPr>
            </w:pPr>
          </w:p>
          <w:p w14:paraId="2E5665CD" w14:textId="77777777" w:rsidR="002F3D9F" w:rsidRDefault="002F3D9F" w:rsidP="00AC39D3">
            <w:pPr>
              <w:jc w:val="both"/>
              <w:rPr>
                <w:rStyle w:val="Firstpagetablebold"/>
              </w:rPr>
            </w:pPr>
          </w:p>
          <w:p w14:paraId="438C366D" w14:textId="77777777" w:rsidR="002F3D9F" w:rsidRDefault="002F3D9F" w:rsidP="00AC39D3">
            <w:pPr>
              <w:jc w:val="both"/>
              <w:rPr>
                <w:rStyle w:val="Firstpagetablebold"/>
              </w:rPr>
            </w:pPr>
          </w:p>
          <w:p w14:paraId="688697CB" w14:textId="77777777" w:rsidR="00E67CD8" w:rsidRDefault="00E67CD8" w:rsidP="00AC39D3">
            <w:pPr>
              <w:jc w:val="both"/>
              <w:rPr>
                <w:rStyle w:val="Firstpagetablebold"/>
              </w:rPr>
            </w:pPr>
          </w:p>
          <w:p w14:paraId="4999A33A" w14:textId="77777777" w:rsidR="00966D42" w:rsidRPr="00975B07" w:rsidRDefault="00966D42" w:rsidP="00AC39D3">
            <w:pPr>
              <w:jc w:val="both"/>
            </w:pPr>
            <w:r w:rsidRPr="00745BF0">
              <w:rPr>
                <w:rStyle w:val="Firstpagetablebold"/>
              </w:rPr>
              <w:lastRenderedPageBreak/>
              <w:t>Appendices</w:t>
            </w:r>
          </w:p>
        </w:tc>
      </w:tr>
      <w:tr w:rsidR="00ED5860" w:rsidRPr="00975B07" w14:paraId="591CE3E1" w14:textId="77777777" w:rsidTr="007B4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14:paraId="7A9BE09D" w14:textId="77777777" w:rsidR="00ED5860" w:rsidRPr="00975B07" w:rsidRDefault="00ED5860" w:rsidP="00AC39D3">
            <w:pPr>
              <w:jc w:val="both"/>
            </w:pPr>
            <w:r w:rsidRPr="00975B07">
              <w:lastRenderedPageBreak/>
              <w:t>Appendix 1</w:t>
            </w:r>
          </w:p>
        </w:tc>
        <w:tc>
          <w:tcPr>
            <w:tcW w:w="6407" w:type="dxa"/>
            <w:tcBorders>
              <w:top w:val="single" w:sz="8" w:space="0" w:color="000000"/>
              <w:left w:val="nil"/>
              <w:bottom w:val="nil"/>
              <w:right w:val="single" w:sz="8" w:space="0" w:color="000000"/>
            </w:tcBorders>
          </w:tcPr>
          <w:p w14:paraId="4904D2EF" w14:textId="77777777" w:rsidR="005430FD" w:rsidRPr="001356F1" w:rsidRDefault="005430FD" w:rsidP="00CC157F">
            <w:pPr>
              <w:jc w:val="both"/>
            </w:pPr>
            <w:r>
              <w:t>Grant Criteria</w:t>
            </w:r>
          </w:p>
        </w:tc>
      </w:tr>
      <w:tr w:rsidR="00E70744" w:rsidRPr="00975B07" w14:paraId="703AA580" w14:textId="77777777" w:rsidTr="007B4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4" w:space="0" w:color="auto"/>
              <w:bottom w:val="nil"/>
              <w:right w:val="nil"/>
            </w:tcBorders>
            <w:shd w:val="clear" w:color="auto" w:fill="auto"/>
          </w:tcPr>
          <w:p w14:paraId="445F0C66" w14:textId="77777777" w:rsidR="00E70744" w:rsidRDefault="00E70744" w:rsidP="00AC39D3">
            <w:pPr>
              <w:jc w:val="both"/>
            </w:pPr>
            <w:r>
              <w:t>Appendix 2</w:t>
            </w:r>
          </w:p>
        </w:tc>
        <w:tc>
          <w:tcPr>
            <w:tcW w:w="6407" w:type="dxa"/>
            <w:tcBorders>
              <w:top w:val="nil"/>
              <w:left w:val="nil"/>
              <w:bottom w:val="nil"/>
              <w:right w:val="single" w:sz="4" w:space="0" w:color="auto"/>
            </w:tcBorders>
          </w:tcPr>
          <w:p w14:paraId="0D6B80D8" w14:textId="77777777" w:rsidR="00E70744" w:rsidRDefault="005430FD" w:rsidP="00A509FF">
            <w:pPr>
              <w:jc w:val="both"/>
            </w:pPr>
            <w:r>
              <w:t>Review of commissioning programme and proposals going forward</w:t>
            </w:r>
          </w:p>
        </w:tc>
      </w:tr>
      <w:tr w:rsidR="008D505C" w:rsidRPr="00975B07" w14:paraId="489DCA1F" w14:textId="77777777" w:rsidTr="007B4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4" w:space="0" w:color="auto"/>
              <w:bottom w:val="nil"/>
              <w:right w:val="nil"/>
            </w:tcBorders>
            <w:shd w:val="clear" w:color="auto" w:fill="auto"/>
          </w:tcPr>
          <w:p w14:paraId="14EC00D6" w14:textId="77777777" w:rsidR="008D505C" w:rsidRPr="00975B07" w:rsidRDefault="008D505C" w:rsidP="00AC39D3">
            <w:pPr>
              <w:jc w:val="both"/>
            </w:pPr>
            <w:r>
              <w:t xml:space="preserve">Appendix </w:t>
            </w:r>
            <w:r w:rsidR="00E70744">
              <w:t>3</w:t>
            </w:r>
          </w:p>
        </w:tc>
        <w:tc>
          <w:tcPr>
            <w:tcW w:w="6407" w:type="dxa"/>
            <w:tcBorders>
              <w:top w:val="nil"/>
              <w:left w:val="nil"/>
              <w:bottom w:val="nil"/>
              <w:right w:val="single" w:sz="4" w:space="0" w:color="auto"/>
            </w:tcBorders>
          </w:tcPr>
          <w:p w14:paraId="3CE8C36C" w14:textId="77777777" w:rsidR="008D505C" w:rsidRDefault="005430FD" w:rsidP="00A509FF">
            <w:pPr>
              <w:jc w:val="both"/>
            </w:pPr>
            <w:r>
              <w:t>Advice commissioning service specification 2018-21</w:t>
            </w:r>
          </w:p>
        </w:tc>
      </w:tr>
      <w:tr w:rsidR="0030208D" w:rsidRPr="00975B07" w14:paraId="65A2A88F" w14:textId="77777777" w:rsidTr="00A50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14:paraId="685FD077" w14:textId="77777777" w:rsidR="0030208D" w:rsidRPr="00975B07" w:rsidRDefault="0030208D" w:rsidP="00AC39D3">
            <w:pPr>
              <w:jc w:val="both"/>
            </w:pPr>
            <w:r w:rsidRPr="00975B07">
              <w:t xml:space="preserve">Appendix </w:t>
            </w:r>
            <w:r w:rsidR="00E70744">
              <w:t>4</w:t>
            </w:r>
          </w:p>
        </w:tc>
        <w:tc>
          <w:tcPr>
            <w:tcW w:w="6407" w:type="dxa"/>
            <w:tcBorders>
              <w:top w:val="nil"/>
              <w:left w:val="nil"/>
              <w:bottom w:val="nil"/>
              <w:right w:val="single" w:sz="8" w:space="0" w:color="000000"/>
            </w:tcBorders>
          </w:tcPr>
          <w:p w14:paraId="3ECD50D4" w14:textId="77777777" w:rsidR="0030208D" w:rsidRPr="001356F1" w:rsidRDefault="005430FD" w:rsidP="00A509FF">
            <w:pPr>
              <w:jc w:val="both"/>
            </w:pPr>
            <w:r>
              <w:t>Equality impact assessment</w:t>
            </w:r>
          </w:p>
        </w:tc>
      </w:tr>
      <w:tr w:rsidR="00A509FF" w:rsidRPr="00975B07" w14:paraId="386C6CD9" w14:textId="77777777" w:rsidTr="007B4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4" w:space="0" w:color="auto"/>
              <w:right w:val="nil"/>
            </w:tcBorders>
            <w:shd w:val="clear" w:color="auto" w:fill="auto"/>
          </w:tcPr>
          <w:p w14:paraId="2C296418" w14:textId="77777777" w:rsidR="005430FD" w:rsidRPr="00975B07" w:rsidRDefault="00A509FF" w:rsidP="00AC39D3">
            <w:pPr>
              <w:jc w:val="both"/>
            </w:pPr>
            <w:r>
              <w:t xml:space="preserve">Appendix </w:t>
            </w:r>
            <w:r w:rsidR="00E70744">
              <w:t>5</w:t>
            </w:r>
          </w:p>
        </w:tc>
        <w:tc>
          <w:tcPr>
            <w:tcW w:w="6407" w:type="dxa"/>
            <w:tcBorders>
              <w:top w:val="nil"/>
              <w:left w:val="nil"/>
              <w:bottom w:val="single" w:sz="4" w:space="0" w:color="auto"/>
              <w:right w:val="single" w:sz="8" w:space="0" w:color="000000"/>
            </w:tcBorders>
          </w:tcPr>
          <w:p w14:paraId="4AF1C702" w14:textId="77777777" w:rsidR="005430FD" w:rsidRDefault="005430FD" w:rsidP="005430FD">
            <w:pPr>
              <w:jc w:val="both"/>
            </w:pPr>
            <w:r>
              <w:t>CEB report risk register</w:t>
            </w:r>
          </w:p>
        </w:tc>
      </w:tr>
    </w:tbl>
    <w:p w14:paraId="3298817F" w14:textId="77777777" w:rsidR="007B4609" w:rsidRDefault="007B4609" w:rsidP="00AC39D3">
      <w:pPr>
        <w:pStyle w:val="Heading1"/>
        <w:spacing w:before="0" w:after="0"/>
        <w:jc w:val="both"/>
      </w:pPr>
    </w:p>
    <w:p w14:paraId="1FACB59D" w14:textId="77777777" w:rsidR="00AC39D3" w:rsidRPr="00AC39D3" w:rsidRDefault="00340ABA" w:rsidP="00AC39D3">
      <w:pPr>
        <w:pStyle w:val="Heading1"/>
        <w:spacing w:before="0" w:after="0"/>
        <w:jc w:val="both"/>
      </w:pPr>
      <w:r w:rsidRPr="005C06BF">
        <w:t xml:space="preserve">Introduction </w:t>
      </w:r>
    </w:p>
    <w:p w14:paraId="3FBFFEA9" w14:textId="77777777" w:rsidR="008A302F" w:rsidRDefault="00F34FA7" w:rsidP="00AC39D3">
      <w:pPr>
        <w:pStyle w:val="ListParagraph"/>
        <w:numPr>
          <w:ilvl w:val="0"/>
          <w:numId w:val="16"/>
        </w:numPr>
        <w:spacing w:after="0"/>
        <w:jc w:val="both"/>
      </w:pPr>
      <w:r>
        <w:t xml:space="preserve">There are 3,222 registered charities in Oxfordshire and many more unregistered </w:t>
      </w:r>
      <w:r w:rsidR="00D92778">
        <w:t>groups; the</w:t>
      </w:r>
      <w:r w:rsidR="00984FF4">
        <w:t>se groups make a significant difference to the lives of residents and the</w:t>
      </w:r>
      <w:r w:rsidR="00CA62E6">
        <w:t xml:space="preserve"> Council greatly values the</w:t>
      </w:r>
      <w:r w:rsidR="00D92778">
        <w:t>ir work</w:t>
      </w:r>
      <w:r w:rsidR="00CA62E6">
        <w:t xml:space="preserve">. Work we undertook to coincide with </w:t>
      </w:r>
      <w:r w:rsidR="00984FF4">
        <w:t xml:space="preserve">last year’s </w:t>
      </w:r>
      <w:r w:rsidR="00CA62E6">
        <w:t>national volunteer day enable</w:t>
      </w:r>
      <w:r w:rsidR="004861A9">
        <w:t>d</w:t>
      </w:r>
      <w:r w:rsidR="00CA62E6">
        <w:t xml:space="preserve"> us to demonstrate that v</w:t>
      </w:r>
      <w:r w:rsidR="008A302F">
        <w:t>olunteers contribute £27.6 million in Oxford</w:t>
      </w:r>
      <w:r w:rsidR="00AC39D3">
        <w:t>.</w:t>
      </w:r>
      <w:r w:rsidR="008A302F">
        <w:t xml:space="preserve"> </w:t>
      </w:r>
    </w:p>
    <w:p w14:paraId="43995CD5" w14:textId="77777777" w:rsidR="00580B3D" w:rsidRDefault="00580B3D" w:rsidP="00AC39D3">
      <w:pPr>
        <w:spacing w:after="0"/>
        <w:ind w:left="360"/>
        <w:jc w:val="both"/>
      </w:pPr>
    </w:p>
    <w:p w14:paraId="6D8B1D22" w14:textId="77777777" w:rsidR="00090131" w:rsidRDefault="006B4D64" w:rsidP="00AC39D3">
      <w:pPr>
        <w:pStyle w:val="ListParagraph"/>
        <w:numPr>
          <w:ilvl w:val="0"/>
          <w:numId w:val="16"/>
        </w:numPr>
        <w:spacing w:after="0"/>
        <w:jc w:val="both"/>
      </w:pPr>
      <w:r>
        <w:t xml:space="preserve">Cuts in public spending </w:t>
      </w:r>
      <w:r w:rsidR="00580B3D">
        <w:t>ha</w:t>
      </w:r>
      <w:r>
        <w:t>ve</w:t>
      </w:r>
      <w:r w:rsidR="00090131">
        <w:t xml:space="preserve"> had a </w:t>
      </w:r>
      <w:r w:rsidR="00D555B4">
        <w:t>significant</w:t>
      </w:r>
      <w:r w:rsidR="00090131">
        <w:t xml:space="preserve"> impact on the community and voluntary sector</w:t>
      </w:r>
      <w:r w:rsidR="00380C06">
        <w:t xml:space="preserve">, </w:t>
      </w:r>
      <w:r w:rsidR="00F34FA7">
        <w:t xml:space="preserve">most </w:t>
      </w:r>
      <w:r w:rsidR="00984FF4">
        <w:t>damagingly</w:t>
      </w:r>
      <w:r w:rsidR="00F34FA7">
        <w:t xml:space="preserve"> </w:t>
      </w:r>
      <w:r w:rsidR="00380C06">
        <w:t xml:space="preserve">within </w:t>
      </w:r>
      <w:r w:rsidR="00AB7E6F">
        <w:t>the areas of greatest need</w:t>
      </w:r>
      <w:r w:rsidR="00380C06">
        <w:t>.</w:t>
      </w:r>
      <w:r w:rsidR="00A4068C">
        <w:t xml:space="preserve"> For all funded </w:t>
      </w:r>
      <w:r w:rsidR="00AF227B">
        <w:t xml:space="preserve">community and voluntary </w:t>
      </w:r>
      <w:r w:rsidR="00A4068C">
        <w:t>organisations</w:t>
      </w:r>
      <w:r w:rsidR="00380C06">
        <w:t xml:space="preserve"> dependent on external fundraising this situation creates real uncer</w:t>
      </w:r>
      <w:r w:rsidR="00090131">
        <w:t>tainty about the future of their services.</w:t>
      </w:r>
      <w:r w:rsidR="00BB31B6">
        <w:t xml:space="preserve"> </w:t>
      </w:r>
    </w:p>
    <w:p w14:paraId="0CE9A5AE" w14:textId="77777777" w:rsidR="00090131" w:rsidRDefault="00090131" w:rsidP="00AC39D3">
      <w:pPr>
        <w:spacing w:after="0"/>
        <w:jc w:val="both"/>
      </w:pPr>
    </w:p>
    <w:p w14:paraId="7A85AF4B" w14:textId="77777777" w:rsidR="004B2AC8" w:rsidRDefault="00984FF4" w:rsidP="004B2AC8">
      <w:pPr>
        <w:pStyle w:val="ListParagraph"/>
        <w:numPr>
          <w:ilvl w:val="0"/>
          <w:numId w:val="16"/>
        </w:numPr>
        <w:spacing w:after="0"/>
        <w:jc w:val="both"/>
      </w:pPr>
      <w:r>
        <w:t>In many cases</w:t>
      </w:r>
      <w:r w:rsidR="00EF003C">
        <w:t>,</w:t>
      </w:r>
      <w:r>
        <w:t xml:space="preserve"> d</w:t>
      </w:r>
      <w:r w:rsidR="00090131">
        <w:t xml:space="preserve">emand </w:t>
      </w:r>
      <w:r w:rsidR="00AB7E6F">
        <w:t>continues to grow</w:t>
      </w:r>
      <w:r w:rsidR="00090131">
        <w:t xml:space="preserve"> and organisations are being asked to deliver more</w:t>
      </w:r>
      <w:r w:rsidR="00EF003C">
        <w:t xml:space="preserve"> with fewer resources</w:t>
      </w:r>
      <w:r w:rsidR="00090131">
        <w:t xml:space="preserve">. </w:t>
      </w:r>
      <w:r w:rsidR="00EF003C">
        <w:t xml:space="preserve">Referrals from statutory providers are </w:t>
      </w:r>
      <w:r w:rsidR="00F65B7A">
        <w:t>increas</w:t>
      </w:r>
      <w:r w:rsidR="00EF003C">
        <w:t>ing, and clients often have more complex needs,</w:t>
      </w:r>
      <w:r w:rsidR="00F65B7A">
        <w:t xml:space="preserve"> but when </w:t>
      </w:r>
      <w:r w:rsidR="00EF0E8B">
        <w:t xml:space="preserve">additional </w:t>
      </w:r>
      <w:r w:rsidR="00F65B7A">
        <w:t>s</w:t>
      </w:r>
      <w:r w:rsidR="00EF0E8B">
        <w:t>u</w:t>
      </w:r>
      <w:r w:rsidR="00F65B7A">
        <w:t xml:space="preserve">pport is needed </w:t>
      </w:r>
      <w:r w:rsidR="00AF227B">
        <w:t xml:space="preserve">by their service users, </w:t>
      </w:r>
      <w:r w:rsidR="00F65B7A">
        <w:t>there are no statutory service</w:t>
      </w:r>
      <w:r w:rsidR="00EF0E8B">
        <w:t>s</w:t>
      </w:r>
      <w:r w:rsidR="005C1D79">
        <w:t>, or a lack of capacity to obtain the support that is required</w:t>
      </w:r>
      <w:r w:rsidR="00F65B7A">
        <w:t>.</w:t>
      </w:r>
    </w:p>
    <w:p w14:paraId="75A2BB17" w14:textId="77777777" w:rsidR="004B2AC8" w:rsidRDefault="004B2AC8" w:rsidP="004B2AC8">
      <w:pPr>
        <w:pStyle w:val="ListParagraph"/>
        <w:numPr>
          <w:ilvl w:val="0"/>
          <w:numId w:val="0"/>
        </w:numPr>
        <w:ind w:left="360"/>
      </w:pPr>
    </w:p>
    <w:p w14:paraId="7EF06274" w14:textId="77777777" w:rsidR="00090131" w:rsidRDefault="00D63A26" w:rsidP="004B2AC8">
      <w:pPr>
        <w:pStyle w:val="ListParagraph"/>
        <w:numPr>
          <w:ilvl w:val="0"/>
          <w:numId w:val="16"/>
        </w:numPr>
        <w:spacing w:after="0"/>
        <w:jc w:val="both"/>
      </w:pPr>
      <w:r>
        <w:t>Commun</w:t>
      </w:r>
      <w:r w:rsidR="00AF227B">
        <w:t>ity and voluntary organisations</w:t>
      </w:r>
      <w:r>
        <w:t xml:space="preserve"> are spending m</w:t>
      </w:r>
      <w:r w:rsidR="00090131">
        <w:t xml:space="preserve">ore time </w:t>
      </w:r>
      <w:r w:rsidR="00D92778">
        <w:t>trying to raise funds</w:t>
      </w:r>
      <w:r w:rsidR="00090131">
        <w:t xml:space="preserve"> </w:t>
      </w:r>
      <w:r w:rsidR="00B57D06">
        <w:t xml:space="preserve">which is </w:t>
      </w:r>
      <w:r w:rsidR="00090131">
        <w:t>taking time away from</w:t>
      </w:r>
      <w:r w:rsidR="002F73B5">
        <w:t xml:space="preserve"> service</w:t>
      </w:r>
      <w:r w:rsidR="00090131">
        <w:t xml:space="preserve"> delivery. </w:t>
      </w:r>
      <w:r w:rsidR="00D92778">
        <w:t xml:space="preserve">Some organisations have created </w:t>
      </w:r>
      <w:proofErr w:type="gramStart"/>
      <w:r w:rsidR="00D92778">
        <w:t>fund raising posts, which does</w:t>
      </w:r>
      <w:proofErr w:type="gramEnd"/>
      <w:r w:rsidR="00D92778">
        <w:t xml:space="preserve"> mean that those that don’t have the resources to do so have a reduced chan</w:t>
      </w:r>
      <w:r w:rsidR="00CB275D">
        <w:t>c</w:t>
      </w:r>
      <w:r w:rsidR="00D92778">
        <w:t xml:space="preserve">e of obtaining funding. </w:t>
      </w:r>
      <w:r w:rsidR="002F73B5">
        <w:t xml:space="preserve">Our monitoring </w:t>
      </w:r>
      <w:r w:rsidR="00AC39D3">
        <w:t xml:space="preserve">has </w:t>
      </w:r>
      <w:r w:rsidR="002F73B5">
        <w:t>highlighted that</w:t>
      </w:r>
      <w:r w:rsidR="00AC39D3">
        <w:t xml:space="preserve"> i</w:t>
      </w:r>
      <w:r w:rsidR="002F73B5">
        <w:t xml:space="preserve">ncreased competition is resulting in organisations having more applications declined. </w:t>
      </w:r>
      <w:r w:rsidR="00E4001E">
        <w:t xml:space="preserve">This </w:t>
      </w:r>
      <w:r w:rsidR="00B2303D">
        <w:t xml:space="preserve">shows </w:t>
      </w:r>
      <w:r w:rsidR="00E4001E">
        <w:t>the importance of organisations in the sector working collaboratively to reduce overheads and increase the effectiveness and reach of projects.</w:t>
      </w:r>
    </w:p>
    <w:p w14:paraId="66FDFB24" w14:textId="77777777" w:rsidR="00090131" w:rsidRDefault="00090131" w:rsidP="00AC39D3">
      <w:pPr>
        <w:spacing w:after="0"/>
        <w:jc w:val="both"/>
      </w:pPr>
    </w:p>
    <w:p w14:paraId="38988FC9" w14:textId="77777777" w:rsidR="002F73B5" w:rsidRDefault="00090131" w:rsidP="00AC39D3">
      <w:pPr>
        <w:pStyle w:val="ListParagraph"/>
        <w:numPr>
          <w:ilvl w:val="0"/>
          <w:numId w:val="16"/>
        </w:numPr>
        <w:spacing w:after="0"/>
        <w:jc w:val="both"/>
      </w:pPr>
      <w:r>
        <w:t xml:space="preserve">We know from </w:t>
      </w:r>
      <w:r w:rsidR="00B2303D">
        <w:t>our</w:t>
      </w:r>
      <w:r>
        <w:t xml:space="preserve"> recent volunteer survey that </w:t>
      </w:r>
      <w:r w:rsidR="00306530">
        <w:t>more than 55,000</w:t>
      </w:r>
      <w:r>
        <w:t xml:space="preserve"> people volunteer regularly in Oxford. The loss of funding</w:t>
      </w:r>
      <w:r w:rsidR="00F47C9B">
        <w:t xml:space="preserve"> for many organisations</w:t>
      </w:r>
      <w:r>
        <w:t xml:space="preserve"> </w:t>
      </w:r>
      <w:r w:rsidR="00D92778">
        <w:t xml:space="preserve">places a greater </w:t>
      </w:r>
      <w:r w:rsidR="004B2AC8">
        <w:t xml:space="preserve">demand </w:t>
      </w:r>
      <w:r w:rsidR="00E22895">
        <w:t>on volunteers</w:t>
      </w:r>
      <w:r w:rsidR="004B2AC8">
        <w:t xml:space="preserve"> both in terms of numbers and their skills and competences which they need to be supported to develop</w:t>
      </w:r>
      <w:r w:rsidR="00E22895">
        <w:t xml:space="preserve">. </w:t>
      </w:r>
    </w:p>
    <w:p w14:paraId="4FD0E796" w14:textId="77777777" w:rsidR="00AC39D3" w:rsidRDefault="00AC39D3" w:rsidP="00AC39D3">
      <w:pPr>
        <w:pStyle w:val="ListParagraph"/>
        <w:numPr>
          <w:ilvl w:val="0"/>
          <w:numId w:val="0"/>
        </w:numPr>
        <w:ind w:left="360"/>
      </w:pPr>
    </w:p>
    <w:p w14:paraId="1C514FF8" w14:textId="77777777" w:rsidR="004A7E35" w:rsidRPr="004A7E35" w:rsidRDefault="0060771B" w:rsidP="00AC39D3">
      <w:pPr>
        <w:pStyle w:val="ListParagraph"/>
        <w:numPr>
          <w:ilvl w:val="0"/>
          <w:numId w:val="16"/>
        </w:numPr>
        <w:spacing w:after="0"/>
        <w:jc w:val="both"/>
        <w:rPr>
          <w:b/>
        </w:rPr>
      </w:pPr>
      <w:r>
        <w:t>In light of the above w</w:t>
      </w:r>
      <w:r w:rsidR="002F73B5">
        <w:t xml:space="preserve">e have reviewed how </w:t>
      </w:r>
      <w:r w:rsidR="00AB7E6F">
        <w:t>the grants programme c</w:t>
      </w:r>
      <w:r w:rsidR="002F73B5">
        <w:t xml:space="preserve">an maximise its contribution to the sector </w:t>
      </w:r>
      <w:r w:rsidR="00AB7E6F">
        <w:t xml:space="preserve">to </w:t>
      </w:r>
      <w:r w:rsidR="002F73B5">
        <w:t xml:space="preserve">support delivery of </w:t>
      </w:r>
      <w:r w:rsidR="00AB7E6F">
        <w:t>activities, projects and</w:t>
      </w:r>
      <w:r w:rsidR="002F73B5">
        <w:t xml:space="preserve"> services </w:t>
      </w:r>
      <w:r w:rsidR="00AB7E6F">
        <w:t xml:space="preserve">that contribute in tackling </w:t>
      </w:r>
      <w:r w:rsidR="002F73B5">
        <w:t xml:space="preserve">inequality and cohesion. </w:t>
      </w:r>
    </w:p>
    <w:p w14:paraId="767594D6" w14:textId="77777777" w:rsidR="004A7E35" w:rsidRDefault="004A7E35" w:rsidP="00AC39D3">
      <w:pPr>
        <w:jc w:val="both"/>
        <w:rPr>
          <w:b/>
        </w:rPr>
      </w:pPr>
    </w:p>
    <w:p w14:paraId="7510BBFA" w14:textId="77777777" w:rsidR="002F3D9F" w:rsidRPr="004A7E35" w:rsidRDefault="002F3D9F" w:rsidP="00AC39D3">
      <w:pPr>
        <w:jc w:val="both"/>
        <w:rPr>
          <w:b/>
        </w:rPr>
      </w:pPr>
    </w:p>
    <w:p w14:paraId="17DBDB58" w14:textId="77777777" w:rsidR="00090131" w:rsidRDefault="006E30B5" w:rsidP="00AC39D3">
      <w:pPr>
        <w:spacing w:after="0"/>
        <w:jc w:val="both"/>
        <w:rPr>
          <w:b/>
        </w:rPr>
      </w:pPr>
      <w:r w:rsidRPr="004A7E35">
        <w:rPr>
          <w:b/>
        </w:rPr>
        <w:lastRenderedPageBreak/>
        <w:t>Oxford City Council</w:t>
      </w:r>
      <w:r w:rsidR="00AC39D3">
        <w:rPr>
          <w:b/>
        </w:rPr>
        <w:t>’</w:t>
      </w:r>
      <w:r w:rsidRPr="004A7E35">
        <w:rPr>
          <w:b/>
        </w:rPr>
        <w:t>s s</w:t>
      </w:r>
      <w:r w:rsidR="00A4068C" w:rsidRPr="004A7E35">
        <w:rPr>
          <w:b/>
        </w:rPr>
        <w:t>upport</w:t>
      </w:r>
      <w:r w:rsidRPr="004A7E35">
        <w:rPr>
          <w:b/>
        </w:rPr>
        <w:t xml:space="preserve"> for</w:t>
      </w:r>
      <w:r w:rsidR="00A4068C" w:rsidRPr="004A7E35">
        <w:rPr>
          <w:b/>
        </w:rPr>
        <w:t xml:space="preserve"> the Community and Voluntary Sector</w:t>
      </w:r>
    </w:p>
    <w:p w14:paraId="1E08517F" w14:textId="77777777" w:rsidR="002F3D9F" w:rsidRPr="004A7E35" w:rsidRDefault="002F3D9F" w:rsidP="00AC39D3">
      <w:pPr>
        <w:spacing w:after="0"/>
        <w:jc w:val="both"/>
        <w:rPr>
          <w:b/>
        </w:rPr>
      </w:pPr>
    </w:p>
    <w:p w14:paraId="687A6D59" w14:textId="77777777" w:rsidR="00EB1946" w:rsidRPr="004A7E35" w:rsidRDefault="00340ABA" w:rsidP="00AC39D3">
      <w:pPr>
        <w:pStyle w:val="ListParagraph"/>
        <w:numPr>
          <w:ilvl w:val="0"/>
          <w:numId w:val="16"/>
        </w:numPr>
        <w:jc w:val="both"/>
        <w:rPr>
          <w:rFonts w:cs="Arial"/>
        </w:rPr>
      </w:pPr>
      <w:r w:rsidRPr="004A7E35">
        <w:rPr>
          <w:rFonts w:cs="Arial"/>
        </w:rPr>
        <w:t xml:space="preserve">Oxford City Council </w:t>
      </w:r>
      <w:r w:rsidR="00EB1946" w:rsidRPr="004A7E35">
        <w:rPr>
          <w:rFonts w:cs="Arial"/>
        </w:rPr>
        <w:t>runs a substantial voluntary and community sector funding programme to support its corporate priorities</w:t>
      </w:r>
      <w:r w:rsidR="00AC39D3">
        <w:rPr>
          <w:rFonts w:cs="Arial"/>
        </w:rPr>
        <w:t>, t</w:t>
      </w:r>
      <w:r w:rsidR="00EB1946" w:rsidRPr="004A7E35">
        <w:rPr>
          <w:rFonts w:cs="Arial"/>
        </w:rPr>
        <w:t>hese are:-</w:t>
      </w:r>
    </w:p>
    <w:p w14:paraId="3BC1D9E1" w14:textId="77777777" w:rsidR="00EB1946" w:rsidRPr="007C6F0A" w:rsidRDefault="00D34515" w:rsidP="00AC39D3">
      <w:pPr>
        <w:pStyle w:val="ListParagraph"/>
        <w:numPr>
          <w:ilvl w:val="0"/>
          <w:numId w:val="7"/>
        </w:numPr>
        <w:spacing w:after="0"/>
        <w:ind w:left="1843"/>
        <w:jc w:val="both"/>
        <w:rPr>
          <w:rFonts w:cs="Arial"/>
        </w:rPr>
      </w:pPr>
      <w:r>
        <w:rPr>
          <w:rFonts w:cs="Arial"/>
        </w:rPr>
        <w:t>A V</w:t>
      </w:r>
      <w:r w:rsidR="007C6F0A" w:rsidRPr="007C6F0A">
        <w:rPr>
          <w:rFonts w:cs="Arial"/>
        </w:rPr>
        <w:t>ibrant and Sustainable Economy</w:t>
      </w:r>
    </w:p>
    <w:p w14:paraId="16D071D2" w14:textId="77777777" w:rsidR="007C6F0A" w:rsidRPr="007C6F0A" w:rsidRDefault="007C6F0A" w:rsidP="00AC39D3">
      <w:pPr>
        <w:pStyle w:val="ListParagraph"/>
        <w:numPr>
          <w:ilvl w:val="0"/>
          <w:numId w:val="7"/>
        </w:numPr>
        <w:tabs>
          <w:tab w:val="left" w:pos="1843"/>
        </w:tabs>
        <w:spacing w:after="0"/>
        <w:ind w:left="1843"/>
        <w:jc w:val="both"/>
        <w:rPr>
          <w:rFonts w:cs="Arial"/>
        </w:rPr>
      </w:pPr>
      <w:r w:rsidRPr="007C6F0A">
        <w:rPr>
          <w:rFonts w:cs="Arial"/>
        </w:rPr>
        <w:t>Meeting Housing Needs</w:t>
      </w:r>
    </w:p>
    <w:p w14:paraId="55AB3A0A" w14:textId="77777777" w:rsidR="007C6F0A" w:rsidRPr="007C6F0A" w:rsidRDefault="007C6F0A" w:rsidP="00AC39D3">
      <w:pPr>
        <w:pStyle w:val="ListParagraph"/>
        <w:numPr>
          <w:ilvl w:val="0"/>
          <w:numId w:val="7"/>
        </w:numPr>
        <w:spacing w:after="0"/>
        <w:ind w:left="1843"/>
        <w:jc w:val="both"/>
        <w:rPr>
          <w:rFonts w:cs="Arial"/>
        </w:rPr>
      </w:pPr>
      <w:r w:rsidRPr="007C6F0A">
        <w:rPr>
          <w:rFonts w:cs="Arial"/>
        </w:rPr>
        <w:t>Strong and Active Communities</w:t>
      </w:r>
    </w:p>
    <w:p w14:paraId="24DE66AE" w14:textId="77777777" w:rsidR="007C6F0A" w:rsidRPr="007C6F0A" w:rsidRDefault="007C6F0A" w:rsidP="00AC39D3">
      <w:pPr>
        <w:pStyle w:val="ListParagraph"/>
        <w:numPr>
          <w:ilvl w:val="0"/>
          <w:numId w:val="7"/>
        </w:numPr>
        <w:spacing w:after="0"/>
        <w:ind w:left="1843"/>
        <w:jc w:val="both"/>
        <w:rPr>
          <w:rFonts w:cs="Arial"/>
        </w:rPr>
      </w:pPr>
      <w:r w:rsidRPr="007C6F0A">
        <w:rPr>
          <w:rFonts w:cs="Arial"/>
        </w:rPr>
        <w:t xml:space="preserve">A Clean and Green Oxford  </w:t>
      </w:r>
    </w:p>
    <w:p w14:paraId="0315DAE9" w14:textId="77777777" w:rsidR="007C6F0A" w:rsidRDefault="007C6F0A" w:rsidP="00AC39D3">
      <w:pPr>
        <w:spacing w:after="0"/>
        <w:jc w:val="both"/>
        <w:rPr>
          <w:rFonts w:cs="Arial"/>
        </w:rPr>
      </w:pPr>
    </w:p>
    <w:p w14:paraId="787BCADF" w14:textId="77777777" w:rsidR="00425283" w:rsidRDefault="00425283" w:rsidP="00AC39D3">
      <w:pPr>
        <w:pStyle w:val="ListParagraph"/>
        <w:numPr>
          <w:ilvl w:val="0"/>
          <w:numId w:val="16"/>
        </w:numPr>
        <w:spacing w:after="0"/>
        <w:jc w:val="both"/>
      </w:pPr>
      <w:r>
        <w:t xml:space="preserve">This funding </w:t>
      </w:r>
      <w:r w:rsidR="003908A0">
        <w:t xml:space="preserve">programme </w:t>
      </w:r>
      <w:r>
        <w:t xml:space="preserve">is an essential resource </w:t>
      </w:r>
      <w:r w:rsidR="003908A0">
        <w:t>for community and voluntary organisations and groups. It</w:t>
      </w:r>
      <w:r>
        <w:t xml:space="preserve"> supports </w:t>
      </w:r>
      <w:r w:rsidRPr="001C15C4">
        <w:t xml:space="preserve">the survival, reach and sustainability of </w:t>
      </w:r>
      <w:r w:rsidR="00AF227B" w:rsidRPr="001C15C4">
        <w:t xml:space="preserve">voluntary and community sector delivered </w:t>
      </w:r>
      <w:r w:rsidRPr="001C15C4">
        <w:t>services that address inequalities and community cohesion in Oxford</w:t>
      </w:r>
      <w:r>
        <w:t>.</w:t>
      </w:r>
    </w:p>
    <w:p w14:paraId="4022CFFD" w14:textId="77777777" w:rsidR="00425283" w:rsidRDefault="00425283" w:rsidP="00AC39D3">
      <w:pPr>
        <w:spacing w:after="0"/>
        <w:jc w:val="both"/>
        <w:rPr>
          <w:b/>
        </w:rPr>
      </w:pPr>
    </w:p>
    <w:p w14:paraId="1291FAF3" w14:textId="77777777" w:rsidR="00ED4046" w:rsidRPr="00A72F35" w:rsidRDefault="001057DA" w:rsidP="00AC39D3">
      <w:pPr>
        <w:pStyle w:val="ListParagraph"/>
        <w:numPr>
          <w:ilvl w:val="0"/>
          <w:numId w:val="16"/>
        </w:numPr>
        <w:jc w:val="both"/>
      </w:pPr>
      <w:r w:rsidRPr="004A7E35">
        <w:rPr>
          <w:rFonts w:cs="Arial"/>
        </w:rPr>
        <w:t xml:space="preserve">The </w:t>
      </w:r>
      <w:r w:rsidR="00B05A04">
        <w:rPr>
          <w:rFonts w:cs="Arial"/>
        </w:rPr>
        <w:t xml:space="preserve">base </w:t>
      </w:r>
      <w:r w:rsidRPr="004A7E35">
        <w:rPr>
          <w:rFonts w:cs="Arial"/>
        </w:rPr>
        <w:t xml:space="preserve">budget for the </w:t>
      </w:r>
      <w:r w:rsidR="00425283" w:rsidRPr="004A7E35">
        <w:rPr>
          <w:rFonts w:cs="Arial"/>
        </w:rPr>
        <w:t xml:space="preserve">community </w:t>
      </w:r>
      <w:r w:rsidRPr="004A7E35">
        <w:rPr>
          <w:rFonts w:cs="Arial"/>
        </w:rPr>
        <w:t xml:space="preserve">grants programme </w:t>
      </w:r>
      <w:r w:rsidR="005E2F2F" w:rsidRPr="004A7E35">
        <w:rPr>
          <w:rFonts w:cs="Arial"/>
        </w:rPr>
        <w:t>is</w:t>
      </w:r>
      <w:r w:rsidRPr="004A7E35">
        <w:rPr>
          <w:rFonts w:cs="Arial"/>
        </w:rPr>
        <w:t xml:space="preserve"> £</w:t>
      </w:r>
      <w:r w:rsidR="00AC39D3" w:rsidRPr="004A7E35">
        <w:rPr>
          <w:rFonts w:cs="Arial"/>
        </w:rPr>
        <w:t>1,4</w:t>
      </w:r>
      <w:r w:rsidR="00A856E2">
        <w:rPr>
          <w:rFonts w:cs="Arial"/>
        </w:rPr>
        <w:t>6</w:t>
      </w:r>
      <w:r w:rsidR="00AC39D3" w:rsidRPr="004A7E35">
        <w:rPr>
          <w:rFonts w:cs="Arial"/>
        </w:rPr>
        <w:t>0,970</w:t>
      </w:r>
      <w:r w:rsidR="00DF1812">
        <w:rPr>
          <w:rFonts w:cs="Arial"/>
        </w:rPr>
        <w:t xml:space="preserve">. </w:t>
      </w:r>
    </w:p>
    <w:p w14:paraId="3121AA4C" w14:textId="77777777" w:rsidR="00A72F35" w:rsidRDefault="00A72F35" w:rsidP="00A72F35">
      <w:pPr>
        <w:ind w:left="360"/>
        <w:jc w:val="both"/>
      </w:pPr>
    </w:p>
    <w:p w14:paraId="0554EE2F" w14:textId="77777777" w:rsidR="006705FE" w:rsidRPr="004A7E35" w:rsidRDefault="006705FE" w:rsidP="00AC39D3">
      <w:pPr>
        <w:pStyle w:val="ListParagraph"/>
        <w:numPr>
          <w:ilvl w:val="0"/>
          <w:numId w:val="16"/>
        </w:numPr>
        <w:jc w:val="both"/>
        <w:rPr>
          <w:rFonts w:cs="Arial"/>
        </w:rPr>
      </w:pPr>
      <w:r w:rsidRPr="004A7E35">
        <w:rPr>
          <w:rFonts w:cs="Arial"/>
        </w:rPr>
        <w:t xml:space="preserve"> </w:t>
      </w:r>
      <w:r w:rsidR="001057DA" w:rsidRPr="004A7E35">
        <w:rPr>
          <w:rFonts w:cs="Arial"/>
        </w:rPr>
        <w:t xml:space="preserve">£1,315,738 </w:t>
      </w:r>
      <w:r w:rsidR="005E2F2F" w:rsidRPr="004A7E35">
        <w:rPr>
          <w:rFonts w:cs="Arial"/>
        </w:rPr>
        <w:t>is</w:t>
      </w:r>
      <w:r w:rsidR="001057DA" w:rsidRPr="004A7E35">
        <w:rPr>
          <w:rFonts w:cs="Arial"/>
        </w:rPr>
        <w:t xml:space="preserve"> committed on a three year basis to organisations delivering activities which the </w:t>
      </w:r>
      <w:r w:rsidR="00D338BD">
        <w:rPr>
          <w:rFonts w:cs="Arial"/>
        </w:rPr>
        <w:t>C</w:t>
      </w:r>
      <w:r w:rsidR="001057DA" w:rsidRPr="004A7E35">
        <w:rPr>
          <w:rFonts w:cs="Arial"/>
        </w:rPr>
        <w:t>ouncil</w:t>
      </w:r>
      <w:r w:rsidR="00DF1812">
        <w:rPr>
          <w:rFonts w:cs="Arial"/>
        </w:rPr>
        <w:t xml:space="preserve"> have identified</w:t>
      </w:r>
      <w:r w:rsidR="001057DA" w:rsidRPr="004A7E35">
        <w:rPr>
          <w:rFonts w:cs="Arial"/>
        </w:rPr>
        <w:t xml:space="preserve"> as</w:t>
      </w:r>
      <w:r w:rsidR="0069372C" w:rsidRPr="004A7E35">
        <w:rPr>
          <w:rFonts w:cs="Arial"/>
        </w:rPr>
        <w:t xml:space="preserve"> making</w:t>
      </w:r>
      <w:r w:rsidR="001057DA" w:rsidRPr="004A7E35">
        <w:rPr>
          <w:rFonts w:cs="Arial"/>
        </w:rPr>
        <w:t xml:space="preserve"> a </w:t>
      </w:r>
      <w:r w:rsidR="0069372C" w:rsidRPr="004A7E35">
        <w:rPr>
          <w:rFonts w:cs="Arial"/>
        </w:rPr>
        <w:t>substantial</w:t>
      </w:r>
      <w:r w:rsidR="001057DA" w:rsidRPr="004A7E35">
        <w:rPr>
          <w:rFonts w:cs="Arial"/>
        </w:rPr>
        <w:t xml:space="preserve"> contribution to the achievement of </w:t>
      </w:r>
      <w:r w:rsidR="004E315A">
        <w:rPr>
          <w:rFonts w:cs="Arial"/>
        </w:rPr>
        <w:t>its</w:t>
      </w:r>
      <w:r w:rsidR="001057DA" w:rsidRPr="004A7E35">
        <w:rPr>
          <w:rFonts w:cs="Arial"/>
        </w:rPr>
        <w:t xml:space="preserve"> corporate goals.</w:t>
      </w:r>
      <w:r w:rsidR="0069372C" w:rsidRPr="004A7E35">
        <w:rPr>
          <w:rFonts w:cs="Arial"/>
        </w:rPr>
        <w:t xml:space="preserve">  </w:t>
      </w:r>
    </w:p>
    <w:p w14:paraId="26423381" w14:textId="77777777" w:rsidR="00340ABA" w:rsidRDefault="0069372C" w:rsidP="00AC39D3">
      <w:pPr>
        <w:pStyle w:val="ListParagraph"/>
        <w:numPr>
          <w:ilvl w:val="0"/>
          <w:numId w:val="16"/>
        </w:numPr>
        <w:spacing w:after="0"/>
        <w:jc w:val="both"/>
        <w:rPr>
          <w:rFonts w:cs="Arial"/>
        </w:rPr>
      </w:pPr>
      <w:r w:rsidRPr="004A7E35">
        <w:rPr>
          <w:rFonts w:cs="Arial"/>
        </w:rPr>
        <w:t>The remaining £1</w:t>
      </w:r>
      <w:r w:rsidR="00E35027" w:rsidRPr="004A7E35">
        <w:rPr>
          <w:rFonts w:cs="Arial"/>
        </w:rPr>
        <w:t>4</w:t>
      </w:r>
      <w:r w:rsidRPr="004A7E35">
        <w:rPr>
          <w:rFonts w:cs="Arial"/>
        </w:rPr>
        <w:t xml:space="preserve">5,232 is available for organisations to bid for on an annual basis </w:t>
      </w:r>
      <w:r w:rsidR="009C638C" w:rsidRPr="004A7E35">
        <w:rPr>
          <w:rFonts w:cs="Arial"/>
        </w:rPr>
        <w:t>through two programmes</w:t>
      </w:r>
      <w:r w:rsidR="002C517E">
        <w:rPr>
          <w:rFonts w:cs="Arial"/>
        </w:rPr>
        <w:t>:</w:t>
      </w:r>
      <w:r w:rsidR="009C638C" w:rsidRPr="004A7E35">
        <w:rPr>
          <w:rFonts w:cs="Arial"/>
        </w:rPr>
        <w:t xml:space="preserve"> open bidding </w:t>
      </w:r>
      <w:r w:rsidR="004474C9">
        <w:rPr>
          <w:rFonts w:cs="Arial"/>
        </w:rPr>
        <w:t>which has a total fund of £107,500</w:t>
      </w:r>
      <w:r w:rsidR="002C517E">
        <w:rPr>
          <w:rFonts w:cs="Arial"/>
        </w:rPr>
        <w:t>,</w:t>
      </w:r>
      <w:r w:rsidR="004474C9">
        <w:rPr>
          <w:rFonts w:cs="Arial"/>
        </w:rPr>
        <w:t xml:space="preserve"> </w:t>
      </w:r>
      <w:r w:rsidR="009C638C" w:rsidRPr="004A7E35">
        <w:rPr>
          <w:rFonts w:cs="Arial"/>
        </w:rPr>
        <w:t xml:space="preserve">and small grants </w:t>
      </w:r>
      <w:r w:rsidR="004474C9">
        <w:rPr>
          <w:rFonts w:cs="Arial"/>
        </w:rPr>
        <w:t>which has a total fund of £37</w:t>
      </w:r>
      <w:r w:rsidR="00117DD6">
        <w:rPr>
          <w:rFonts w:cs="Arial"/>
        </w:rPr>
        <w:t>,</w:t>
      </w:r>
      <w:r w:rsidR="004474C9">
        <w:rPr>
          <w:rFonts w:cs="Arial"/>
        </w:rPr>
        <w:t xml:space="preserve">732 </w:t>
      </w:r>
      <w:r w:rsidR="006705FE" w:rsidRPr="004A7E35">
        <w:rPr>
          <w:rFonts w:cs="Arial"/>
        </w:rPr>
        <w:t xml:space="preserve">for </w:t>
      </w:r>
      <w:r w:rsidRPr="004A7E35">
        <w:rPr>
          <w:rFonts w:cs="Arial"/>
        </w:rPr>
        <w:t>small</w:t>
      </w:r>
      <w:r w:rsidR="0034194D" w:rsidRPr="004A7E35">
        <w:rPr>
          <w:rFonts w:cs="Arial"/>
        </w:rPr>
        <w:t>er</w:t>
      </w:r>
      <w:r w:rsidRPr="004A7E35">
        <w:rPr>
          <w:rFonts w:cs="Arial"/>
        </w:rPr>
        <w:t xml:space="preserve"> </w:t>
      </w:r>
      <w:r w:rsidR="006705FE" w:rsidRPr="004A7E35">
        <w:rPr>
          <w:rFonts w:cs="Arial"/>
        </w:rPr>
        <w:t>scale projects and activities that meet</w:t>
      </w:r>
      <w:r w:rsidR="000122B6" w:rsidRPr="004A7E35">
        <w:rPr>
          <w:rFonts w:cs="Arial"/>
        </w:rPr>
        <w:t xml:space="preserve"> </w:t>
      </w:r>
      <w:r w:rsidRPr="004A7E35">
        <w:rPr>
          <w:rFonts w:cs="Arial"/>
        </w:rPr>
        <w:t xml:space="preserve">the </w:t>
      </w:r>
      <w:r w:rsidR="004E315A">
        <w:rPr>
          <w:rFonts w:cs="Arial"/>
        </w:rPr>
        <w:t>C</w:t>
      </w:r>
      <w:r w:rsidRPr="004A7E35">
        <w:rPr>
          <w:rFonts w:cs="Arial"/>
        </w:rPr>
        <w:t>ouncil’s corporate priorities.</w:t>
      </w:r>
    </w:p>
    <w:p w14:paraId="54BE98B4" w14:textId="77777777" w:rsidR="009C68D1" w:rsidRDefault="009C68D1" w:rsidP="009C68D1">
      <w:pPr>
        <w:pStyle w:val="ListParagraph"/>
        <w:numPr>
          <w:ilvl w:val="0"/>
          <w:numId w:val="0"/>
        </w:numPr>
        <w:spacing w:after="0"/>
        <w:ind w:left="720"/>
        <w:jc w:val="both"/>
        <w:rPr>
          <w:rFonts w:cs="Arial"/>
        </w:rPr>
      </w:pPr>
    </w:p>
    <w:p w14:paraId="2EF51E1D" w14:textId="77777777" w:rsidR="00C030CE" w:rsidRPr="004A7E35" w:rsidRDefault="00C030CE" w:rsidP="00C030CE">
      <w:pPr>
        <w:pStyle w:val="ListParagraph"/>
        <w:numPr>
          <w:ilvl w:val="0"/>
          <w:numId w:val="16"/>
        </w:numPr>
        <w:spacing w:after="0"/>
        <w:jc w:val="both"/>
        <w:rPr>
          <w:rFonts w:cs="Arial"/>
        </w:rPr>
      </w:pPr>
      <w:r>
        <w:rPr>
          <w:rFonts w:cs="Arial"/>
        </w:rPr>
        <w:t>Applications to these funds are assessed by an independent panel of City Council officers, taking additional expert advice from when appropriate. The panel mark the applications against set criteria including evidence of need, targeting</w:t>
      </w:r>
      <w:r w:rsidR="00D34515">
        <w:rPr>
          <w:rFonts w:cs="Arial"/>
        </w:rPr>
        <w:t>, meeting the Council’s corporate priorities</w:t>
      </w:r>
      <w:r>
        <w:rPr>
          <w:rFonts w:cs="Arial"/>
        </w:rPr>
        <w:t xml:space="preserve"> and evaluation of the project.</w:t>
      </w:r>
      <w:r w:rsidR="00E208B9">
        <w:rPr>
          <w:rFonts w:cs="Arial"/>
        </w:rPr>
        <w:t xml:space="preserve"> This ensures equitable assessment for all applications.</w:t>
      </w:r>
      <w:r w:rsidR="005430FD">
        <w:rPr>
          <w:rFonts w:cs="Arial"/>
        </w:rPr>
        <w:t xml:space="preserve"> These criteria can be found at Appendix 1.</w:t>
      </w:r>
    </w:p>
    <w:p w14:paraId="0C910785" w14:textId="77777777" w:rsidR="0069372C" w:rsidRDefault="0069372C" w:rsidP="00AC39D3">
      <w:pPr>
        <w:spacing w:after="0"/>
        <w:jc w:val="both"/>
        <w:rPr>
          <w:rFonts w:cs="Arial"/>
        </w:rPr>
      </w:pPr>
    </w:p>
    <w:p w14:paraId="32DA29A5" w14:textId="77777777" w:rsidR="004F49CA" w:rsidRDefault="00F47C9B" w:rsidP="004F49CA">
      <w:pPr>
        <w:pStyle w:val="ListParagraph"/>
        <w:numPr>
          <w:ilvl w:val="0"/>
          <w:numId w:val="16"/>
        </w:numPr>
        <w:tabs>
          <w:tab w:val="left" w:pos="1168"/>
        </w:tabs>
        <w:spacing w:after="0"/>
        <w:jc w:val="both"/>
      </w:pPr>
      <w:r>
        <w:t xml:space="preserve">Short term funding </w:t>
      </w:r>
      <w:r w:rsidR="0034194D">
        <w:t>can place an</w:t>
      </w:r>
      <w:r>
        <w:t xml:space="preserve"> unnecessary stra</w:t>
      </w:r>
      <w:r w:rsidR="0034194D">
        <w:t xml:space="preserve">in on limited </w:t>
      </w:r>
      <w:r w:rsidR="00945A87">
        <w:t>resources</w:t>
      </w:r>
      <w:r w:rsidR="00D338BD">
        <w:t xml:space="preserve"> and</w:t>
      </w:r>
      <w:r w:rsidR="0034194D">
        <w:t xml:space="preserve"> create</w:t>
      </w:r>
      <w:r>
        <w:t xml:space="preserve"> problems wi</w:t>
      </w:r>
      <w:r w:rsidR="00D338BD">
        <w:t>th long term financial planning</w:t>
      </w:r>
      <w:r w:rsidR="00DF1812">
        <w:t xml:space="preserve"> and service delivery</w:t>
      </w:r>
      <w:r>
        <w:t xml:space="preserve">. From April 2018 we recommend that the City Executive Board agrees a </w:t>
      </w:r>
      <w:r w:rsidR="00117DD6">
        <w:t>three</w:t>
      </w:r>
      <w:r>
        <w:t xml:space="preserve"> year</w:t>
      </w:r>
      <w:r w:rsidR="0034194D">
        <w:t xml:space="preserve"> </w:t>
      </w:r>
      <w:r>
        <w:t xml:space="preserve">funding programme for </w:t>
      </w:r>
      <w:r w:rsidR="00D34515">
        <w:t xml:space="preserve">both </w:t>
      </w:r>
      <w:r>
        <w:t xml:space="preserve">the commissioning programme and </w:t>
      </w:r>
      <w:r w:rsidR="00AC39D3">
        <w:t xml:space="preserve">the </w:t>
      </w:r>
      <w:r>
        <w:t xml:space="preserve">open bidding grants programme to help with sustainability and long term security for community and voluntary </w:t>
      </w:r>
      <w:r w:rsidR="00AF227B">
        <w:t>organisations</w:t>
      </w:r>
      <w:r w:rsidR="00610B36">
        <w:t>.</w:t>
      </w:r>
    </w:p>
    <w:p w14:paraId="767C7ED9" w14:textId="77777777" w:rsidR="004F49CA" w:rsidRDefault="004F49CA" w:rsidP="004F49CA">
      <w:pPr>
        <w:pStyle w:val="ListParagraph"/>
        <w:numPr>
          <w:ilvl w:val="0"/>
          <w:numId w:val="0"/>
        </w:numPr>
        <w:ind w:left="360"/>
      </w:pPr>
    </w:p>
    <w:p w14:paraId="211B37DB" w14:textId="77777777" w:rsidR="004F49CA" w:rsidRDefault="004F49CA" w:rsidP="004F49CA">
      <w:pPr>
        <w:pStyle w:val="ListParagraph"/>
        <w:numPr>
          <w:ilvl w:val="0"/>
          <w:numId w:val="16"/>
        </w:numPr>
        <w:tabs>
          <w:tab w:val="left" w:pos="1168"/>
        </w:tabs>
        <w:spacing w:after="0"/>
        <w:jc w:val="both"/>
      </w:pPr>
      <w:r>
        <w:t xml:space="preserve">For organisations who successfully bid for three year funding, their funding </w:t>
      </w:r>
      <w:r w:rsidR="00846F35">
        <w:t xml:space="preserve">throughout the period </w:t>
      </w:r>
      <w:r w:rsidR="004B2AC8">
        <w:t xml:space="preserve">will be conditional on ongoing </w:t>
      </w:r>
      <w:r>
        <w:t xml:space="preserve">delivery of agreed outcomes. </w:t>
      </w:r>
    </w:p>
    <w:p w14:paraId="2C3A8B20" w14:textId="77777777" w:rsidR="004F49CA" w:rsidRDefault="004F49CA" w:rsidP="004F49CA">
      <w:pPr>
        <w:pStyle w:val="ListParagraph"/>
        <w:numPr>
          <w:ilvl w:val="0"/>
          <w:numId w:val="0"/>
        </w:numPr>
        <w:tabs>
          <w:tab w:val="left" w:pos="1168"/>
        </w:tabs>
        <w:spacing w:after="0"/>
        <w:ind w:left="360"/>
        <w:jc w:val="both"/>
      </w:pPr>
    </w:p>
    <w:p w14:paraId="5CF817CD" w14:textId="77777777" w:rsidR="004F49CA" w:rsidRDefault="004F49CA" w:rsidP="004F49CA">
      <w:pPr>
        <w:pStyle w:val="ListParagraph"/>
        <w:numPr>
          <w:ilvl w:val="0"/>
          <w:numId w:val="16"/>
        </w:numPr>
        <w:tabs>
          <w:tab w:val="left" w:pos="1168"/>
        </w:tabs>
        <w:spacing w:after="0"/>
        <w:jc w:val="both"/>
      </w:pPr>
      <w:r>
        <w:t>The small grants fund offers smaller sums of money and therefore tends to support shorter term projects</w:t>
      </w:r>
      <w:r w:rsidR="00DF1812">
        <w:t xml:space="preserve"> and</w:t>
      </w:r>
      <w:r>
        <w:t xml:space="preserve"> events or is used as ‘pump-priming’ to set up projects. </w:t>
      </w:r>
      <w:r w:rsidR="004474C9">
        <w:t>As such</w:t>
      </w:r>
      <w:r>
        <w:t xml:space="preserve"> </w:t>
      </w:r>
      <w:r w:rsidR="00DF1812">
        <w:t>no change is</w:t>
      </w:r>
      <w:r>
        <w:t xml:space="preserve"> proposed to the </w:t>
      </w:r>
      <w:r w:rsidR="00DF1812">
        <w:t xml:space="preserve">annual nature of the </w:t>
      </w:r>
      <w:r>
        <w:t xml:space="preserve">small </w:t>
      </w:r>
      <w:proofErr w:type="gramStart"/>
      <w:r>
        <w:t>grants  programme</w:t>
      </w:r>
      <w:proofErr w:type="gramEnd"/>
      <w:r>
        <w:t>.</w:t>
      </w:r>
    </w:p>
    <w:p w14:paraId="2B0FFA6D" w14:textId="77777777" w:rsidR="00E52BF7" w:rsidRDefault="00E52BF7" w:rsidP="004F49CA">
      <w:pPr>
        <w:pStyle w:val="ListParagraph"/>
        <w:numPr>
          <w:ilvl w:val="0"/>
          <w:numId w:val="0"/>
        </w:numPr>
        <w:ind w:left="360"/>
      </w:pPr>
    </w:p>
    <w:p w14:paraId="402B295D" w14:textId="77777777" w:rsidR="002F3D9F" w:rsidRDefault="002F3D9F" w:rsidP="004F49CA">
      <w:pPr>
        <w:pStyle w:val="ListParagraph"/>
        <w:numPr>
          <w:ilvl w:val="0"/>
          <w:numId w:val="0"/>
        </w:numPr>
        <w:ind w:left="360"/>
      </w:pPr>
    </w:p>
    <w:p w14:paraId="6FC7C77D" w14:textId="77777777" w:rsidR="004F49CA" w:rsidRDefault="004F49CA" w:rsidP="004F49CA">
      <w:pPr>
        <w:spacing w:after="0"/>
        <w:jc w:val="both"/>
        <w:rPr>
          <w:rFonts w:cs="Arial"/>
          <w:b/>
        </w:rPr>
      </w:pPr>
      <w:r w:rsidRPr="009C638C">
        <w:rPr>
          <w:rFonts w:cs="Arial"/>
          <w:b/>
        </w:rPr>
        <w:lastRenderedPageBreak/>
        <w:t>Commissioning Programme</w:t>
      </w:r>
    </w:p>
    <w:p w14:paraId="52DE9F6A" w14:textId="77777777" w:rsidR="002F3D9F" w:rsidRDefault="002F3D9F" w:rsidP="004F49CA">
      <w:pPr>
        <w:spacing w:after="0"/>
        <w:jc w:val="both"/>
      </w:pPr>
    </w:p>
    <w:p w14:paraId="5E3CF022" w14:textId="77777777" w:rsidR="004F49CA" w:rsidRDefault="004F49CA" w:rsidP="004F49CA">
      <w:pPr>
        <w:pStyle w:val="ListParagraph"/>
        <w:numPr>
          <w:ilvl w:val="0"/>
          <w:numId w:val="16"/>
        </w:numPr>
        <w:spacing w:after="0"/>
        <w:jc w:val="both"/>
      </w:pPr>
      <w:r>
        <w:t>The current commissioning programme commenced on 1 April 2015 and ends on 31 March 2018</w:t>
      </w:r>
      <w:r w:rsidR="00511865">
        <w:t>.</w:t>
      </w:r>
    </w:p>
    <w:p w14:paraId="62D52D94" w14:textId="77777777" w:rsidR="004F49CA" w:rsidRDefault="004F49CA" w:rsidP="004F49CA">
      <w:pPr>
        <w:spacing w:after="0"/>
        <w:jc w:val="both"/>
      </w:pPr>
    </w:p>
    <w:p w14:paraId="27426FD1" w14:textId="77777777" w:rsidR="004F49CA" w:rsidRDefault="004F49CA" w:rsidP="004F49CA">
      <w:pPr>
        <w:pStyle w:val="ListParagraph"/>
        <w:numPr>
          <w:ilvl w:val="0"/>
          <w:numId w:val="16"/>
        </w:numPr>
        <w:spacing w:after="0"/>
        <w:jc w:val="both"/>
      </w:pPr>
      <w:r>
        <w:t>The commissioned services delivered by organisations fit into the following themes:-</w:t>
      </w:r>
    </w:p>
    <w:p w14:paraId="3AC871BA" w14:textId="77777777" w:rsidR="004F49CA" w:rsidRDefault="004F49CA" w:rsidP="004F49CA">
      <w:pPr>
        <w:pStyle w:val="ListParagraph"/>
        <w:numPr>
          <w:ilvl w:val="0"/>
          <w:numId w:val="8"/>
        </w:numPr>
        <w:spacing w:after="0"/>
        <w:ind w:left="1775" w:hanging="357"/>
        <w:jc w:val="both"/>
      </w:pPr>
      <w:r>
        <w:t>Advice and money management</w:t>
      </w:r>
    </w:p>
    <w:p w14:paraId="36BFCD61" w14:textId="77777777" w:rsidR="004F49CA" w:rsidRDefault="004F49CA" w:rsidP="004F49CA">
      <w:pPr>
        <w:pStyle w:val="ListParagraph"/>
        <w:numPr>
          <w:ilvl w:val="0"/>
          <w:numId w:val="8"/>
        </w:numPr>
        <w:spacing w:after="0"/>
        <w:ind w:left="1775" w:hanging="357"/>
        <w:jc w:val="both"/>
      </w:pPr>
      <w:r>
        <w:t>Community safety</w:t>
      </w:r>
    </w:p>
    <w:p w14:paraId="7736CFC9" w14:textId="77777777" w:rsidR="004F49CA" w:rsidRDefault="004F49CA" w:rsidP="004F49CA">
      <w:pPr>
        <w:pStyle w:val="ListParagraph"/>
        <w:numPr>
          <w:ilvl w:val="0"/>
          <w:numId w:val="8"/>
        </w:numPr>
        <w:spacing w:after="0"/>
        <w:ind w:left="1775" w:hanging="357"/>
        <w:jc w:val="both"/>
      </w:pPr>
      <w:r>
        <w:t>Inclusive arts and culture</w:t>
      </w:r>
    </w:p>
    <w:p w14:paraId="0CCE5226" w14:textId="77777777" w:rsidR="004F49CA" w:rsidRDefault="004F49CA" w:rsidP="004F49CA">
      <w:pPr>
        <w:pStyle w:val="ListParagraph"/>
        <w:numPr>
          <w:ilvl w:val="0"/>
          <w:numId w:val="8"/>
        </w:numPr>
        <w:spacing w:after="0"/>
        <w:ind w:left="1775" w:hanging="357"/>
        <w:jc w:val="both"/>
      </w:pPr>
      <w:r>
        <w:t>Community and voluntary sector infrastructure</w:t>
      </w:r>
    </w:p>
    <w:p w14:paraId="623246A8" w14:textId="77777777" w:rsidR="004F49CA" w:rsidRDefault="004F49CA" w:rsidP="004F49CA">
      <w:pPr>
        <w:pStyle w:val="ListParagraph"/>
        <w:numPr>
          <w:ilvl w:val="0"/>
          <w:numId w:val="8"/>
        </w:numPr>
        <w:spacing w:after="0"/>
        <w:ind w:left="1775" w:hanging="357"/>
        <w:jc w:val="both"/>
      </w:pPr>
      <w:r>
        <w:t>Homelessness</w:t>
      </w:r>
    </w:p>
    <w:p w14:paraId="3DCD867B" w14:textId="77777777" w:rsidR="004F49CA" w:rsidRDefault="004F49CA" w:rsidP="004F49CA">
      <w:pPr>
        <w:pStyle w:val="ListParagraph"/>
        <w:numPr>
          <w:ilvl w:val="0"/>
          <w:numId w:val="8"/>
        </w:numPr>
        <w:spacing w:after="0"/>
        <w:ind w:left="1775" w:hanging="357"/>
        <w:jc w:val="both"/>
      </w:pPr>
      <w:r>
        <w:t>Inclusive play and leisure for disabled children and young people</w:t>
      </w:r>
    </w:p>
    <w:p w14:paraId="10ACE24C" w14:textId="77777777" w:rsidR="004F49CA" w:rsidRDefault="004F49CA" w:rsidP="004F49CA">
      <w:pPr>
        <w:spacing w:after="0"/>
        <w:jc w:val="both"/>
      </w:pPr>
    </w:p>
    <w:p w14:paraId="53722745" w14:textId="77777777" w:rsidR="004F49CA" w:rsidRDefault="004F49CA" w:rsidP="004F49CA">
      <w:pPr>
        <w:pStyle w:val="ListParagraph"/>
        <w:numPr>
          <w:ilvl w:val="0"/>
          <w:numId w:val="16"/>
        </w:numPr>
        <w:spacing w:after="0"/>
        <w:jc w:val="both"/>
      </w:pPr>
      <w:r>
        <w:t>Notifications will be sent to all funded organisations to remind them that their funding is coming to an end</w:t>
      </w:r>
      <w:r w:rsidR="00511865">
        <w:t xml:space="preserve"> on 31March 2018</w:t>
      </w:r>
      <w:r>
        <w:t xml:space="preserve">. Appendix </w:t>
      </w:r>
      <w:r w:rsidR="005430FD">
        <w:t>2</w:t>
      </w:r>
      <w:r>
        <w:t xml:space="preserve"> </w:t>
      </w:r>
      <w:r w:rsidR="00511865">
        <w:t>provides</w:t>
      </w:r>
      <w:r>
        <w:t xml:space="preserve"> an overview of each commissioning theme </w:t>
      </w:r>
      <w:r w:rsidR="00511865">
        <w:t>highlighting</w:t>
      </w:r>
      <w:r>
        <w:t xml:space="preserve"> what’s worked well over the last three year programme, issues and how we plan to go forward from April 2018.</w:t>
      </w:r>
    </w:p>
    <w:p w14:paraId="5D595B9B" w14:textId="77777777" w:rsidR="004F49CA" w:rsidRDefault="004F49CA" w:rsidP="004F49CA">
      <w:pPr>
        <w:spacing w:after="0"/>
        <w:jc w:val="both"/>
      </w:pPr>
    </w:p>
    <w:p w14:paraId="481C2578" w14:textId="77777777" w:rsidR="006C570C" w:rsidRDefault="004F49CA" w:rsidP="004F49CA">
      <w:pPr>
        <w:pStyle w:val="ListParagraph"/>
        <w:numPr>
          <w:ilvl w:val="0"/>
          <w:numId w:val="16"/>
        </w:numPr>
        <w:spacing w:after="0"/>
        <w:jc w:val="both"/>
      </w:pPr>
      <w:r>
        <w:t>It is recommended that the City Executive Board approve the commissioning themes from April 2018 as set out above.</w:t>
      </w:r>
    </w:p>
    <w:p w14:paraId="7AD65677" w14:textId="77777777" w:rsidR="006C570C" w:rsidRDefault="006C570C" w:rsidP="00846F35">
      <w:pPr>
        <w:pStyle w:val="ListParagraph"/>
        <w:numPr>
          <w:ilvl w:val="0"/>
          <w:numId w:val="0"/>
        </w:numPr>
        <w:ind w:left="360"/>
      </w:pPr>
    </w:p>
    <w:p w14:paraId="0BC00653" w14:textId="77777777" w:rsidR="004F49CA" w:rsidRDefault="00846F35" w:rsidP="004F49CA">
      <w:pPr>
        <w:pStyle w:val="ListParagraph"/>
        <w:numPr>
          <w:ilvl w:val="0"/>
          <w:numId w:val="16"/>
        </w:numPr>
        <w:spacing w:after="0"/>
        <w:jc w:val="both"/>
      </w:pPr>
      <w:r>
        <w:t>B</w:t>
      </w:r>
      <w:r w:rsidR="00D93D7D">
        <w:t>oth the Inclusive Arts and Culture theme and the Community and Voluntary Sector Infrastructure theme</w:t>
      </w:r>
      <w:r>
        <w:t xml:space="preserve"> have long term agreements in place and this report recommends changing the funding model for these themes to increase transparency of process.</w:t>
      </w:r>
    </w:p>
    <w:p w14:paraId="60BF51A0" w14:textId="77777777" w:rsidR="004F49CA" w:rsidRDefault="004F49CA" w:rsidP="004F49CA">
      <w:pPr>
        <w:spacing w:after="0"/>
        <w:jc w:val="both"/>
      </w:pPr>
    </w:p>
    <w:p w14:paraId="26AB5F29" w14:textId="77777777" w:rsidR="00C8237E" w:rsidRDefault="003C46E2" w:rsidP="00C8237E">
      <w:pPr>
        <w:pStyle w:val="ListParagraph"/>
        <w:numPr>
          <w:ilvl w:val="0"/>
          <w:numId w:val="16"/>
        </w:numPr>
        <w:spacing w:after="0"/>
        <w:jc w:val="both"/>
      </w:pPr>
      <w:r>
        <w:t xml:space="preserve">There is a large arts and </w:t>
      </w:r>
      <w:r w:rsidRPr="00C8237E">
        <w:t>culture</w:t>
      </w:r>
      <w:r>
        <w:t xml:space="preserve"> sector in Oxford and over a number of</w:t>
      </w:r>
      <w:r w:rsidRPr="00C8237E">
        <w:t xml:space="preserve"> years there have been </w:t>
      </w:r>
      <w:r w:rsidR="001F0252">
        <w:t xml:space="preserve">numerous </w:t>
      </w:r>
      <w:r w:rsidRPr="00C8237E">
        <w:t xml:space="preserve">enquiries </w:t>
      </w:r>
      <w:r>
        <w:t>about accessing funding through this</w:t>
      </w:r>
      <w:r w:rsidRPr="00C8237E">
        <w:t xml:space="preserve"> commissioning theme. </w:t>
      </w:r>
      <w:r>
        <w:t>Similarly, there are organisations in the community and voluntary sector who would welcome the opportunity to apply for this longer term funding and who may be able to provide an alternative offer.</w:t>
      </w:r>
      <w:r w:rsidRPr="007D78AA">
        <w:t xml:space="preserve"> </w:t>
      </w:r>
      <w:r>
        <w:t xml:space="preserve">In this environment, </w:t>
      </w:r>
      <w:r w:rsidR="00D93D7D">
        <w:t>giving other organisations the opportunity to bid for this funding is more</w:t>
      </w:r>
      <w:r w:rsidR="00511865">
        <w:t xml:space="preserve"> transparent, </w:t>
      </w:r>
      <w:r w:rsidRPr="00C8237E">
        <w:t>give</w:t>
      </w:r>
      <w:r w:rsidR="00D93D7D">
        <w:t>s</w:t>
      </w:r>
      <w:r w:rsidRPr="00C8237E">
        <w:t xml:space="preserve"> more organisations the opportunity to apply for longer term funding</w:t>
      </w:r>
      <w:r w:rsidR="00511865">
        <w:t xml:space="preserve"> and potentially increases value for money in terms of service delivery</w:t>
      </w:r>
      <w:r>
        <w:t>.</w:t>
      </w:r>
    </w:p>
    <w:p w14:paraId="176E8149" w14:textId="77777777" w:rsidR="007D78AA" w:rsidRDefault="007D78AA" w:rsidP="001F0252">
      <w:pPr>
        <w:rPr>
          <w:color w:val="auto"/>
        </w:rPr>
      </w:pPr>
    </w:p>
    <w:p w14:paraId="05629BC0" w14:textId="77777777" w:rsidR="005430FD" w:rsidRPr="005430FD" w:rsidRDefault="005430FD" w:rsidP="001F0252">
      <w:pPr>
        <w:rPr>
          <w:b/>
          <w:color w:val="auto"/>
        </w:rPr>
      </w:pPr>
      <w:r w:rsidRPr="005430FD">
        <w:rPr>
          <w:b/>
        </w:rPr>
        <w:t>Community and Voluntary Sector Infrastructure</w:t>
      </w:r>
    </w:p>
    <w:p w14:paraId="32FDBA24" w14:textId="77777777" w:rsidR="007D78AA" w:rsidRPr="007D78AA" w:rsidRDefault="007D78AA" w:rsidP="007D78AA">
      <w:pPr>
        <w:pStyle w:val="ListParagraph"/>
        <w:numPr>
          <w:ilvl w:val="0"/>
          <w:numId w:val="16"/>
        </w:numPr>
        <w:spacing w:after="0"/>
        <w:jc w:val="both"/>
      </w:pPr>
      <w:r w:rsidRPr="007D78AA">
        <w:rPr>
          <w:color w:val="auto"/>
        </w:rPr>
        <w:t xml:space="preserve">For voluntary sector infrastructure support </w:t>
      </w:r>
      <w:r w:rsidR="006C570C">
        <w:rPr>
          <w:color w:val="auto"/>
        </w:rPr>
        <w:t xml:space="preserve">our feedback from </w:t>
      </w:r>
      <w:r w:rsidRPr="007D78AA">
        <w:rPr>
          <w:color w:val="auto"/>
        </w:rPr>
        <w:t xml:space="preserve">community and voluntary sector </w:t>
      </w:r>
      <w:r w:rsidR="006C570C">
        <w:rPr>
          <w:color w:val="auto"/>
        </w:rPr>
        <w:t>groups shows the areas of focus should be</w:t>
      </w:r>
      <w:r w:rsidRPr="007D78AA">
        <w:rPr>
          <w:color w:val="auto"/>
        </w:rPr>
        <w:t>:</w:t>
      </w:r>
    </w:p>
    <w:p w14:paraId="4ADAC30E" w14:textId="77777777" w:rsidR="007D78AA" w:rsidRDefault="007D78AA" w:rsidP="007D78AA">
      <w:pPr>
        <w:spacing w:after="0"/>
        <w:jc w:val="both"/>
      </w:pPr>
    </w:p>
    <w:p w14:paraId="4579D0F8" w14:textId="77777777" w:rsidR="007D78AA" w:rsidRDefault="007D78AA" w:rsidP="007D78AA">
      <w:pPr>
        <w:pStyle w:val="ListParagraph"/>
        <w:numPr>
          <w:ilvl w:val="0"/>
          <w:numId w:val="9"/>
        </w:numPr>
        <w:spacing w:after="0"/>
        <w:ind w:left="1775" w:hanging="357"/>
        <w:jc w:val="both"/>
      </w:pPr>
      <w:r>
        <w:t>help and support with fund raising</w:t>
      </w:r>
    </w:p>
    <w:p w14:paraId="6D528E9C" w14:textId="77777777" w:rsidR="007D78AA" w:rsidRDefault="007D78AA" w:rsidP="007D78AA">
      <w:pPr>
        <w:pStyle w:val="ListParagraph"/>
        <w:numPr>
          <w:ilvl w:val="0"/>
          <w:numId w:val="9"/>
        </w:numPr>
        <w:spacing w:after="0"/>
        <w:ind w:left="1775" w:hanging="357"/>
        <w:jc w:val="both"/>
      </w:pPr>
      <w:r>
        <w:t xml:space="preserve">advice and support on governance </w:t>
      </w:r>
      <w:r w:rsidRPr="007D78AA">
        <w:t>including working together to increase efficiencies and reduce costs</w:t>
      </w:r>
    </w:p>
    <w:p w14:paraId="1335F2AE" w14:textId="77777777" w:rsidR="007D78AA" w:rsidRDefault="007D78AA" w:rsidP="007D78AA">
      <w:pPr>
        <w:pStyle w:val="ListParagraph"/>
        <w:numPr>
          <w:ilvl w:val="0"/>
          <w:numId w:val="9"/>
        </w:numPr>
        <w:spacing w:after="0"/>
        <w:ind w:left="1775" w:hanging="357"/>
        <w:jc w:val="both"/>
      </w:pPr>
      <w:r>
        <w:t>volunteering support</w:t>
      </w:r>
    </w:p>
    <w:p w14:paraId="17ABC85E" w14:textId="77777777" w:rsidR="007D78AA" w:rsidRDefault="007D78AA" w:rsidP="007D78AA">
      <w:pPr>
        <w:spacing w:after="0"/>
        <w:jc w:val="both"/>
      </w:pPr>
    </w:p>
    <w:p w14:paraId="343278BE" w14:textId="5E207643" w:rsidR="007D78AA" w:rsidRDefault="007D78AA" w:rsidP="005430FD">
      <w:pPr>
        <w:pStyle w:val="ListParagraph"/>
        <w:numPr>
          <w:ilvl w:val="0"/>
          <w:numId w:val="16"/>
        </w:numPr>
        <w:spacing w:after="0"/>
        <w:jc w:val="both"/>
      </w:pPr>
      <w:r>
        <w:t xml:space="preserve">The amount currently allocated for this theme is £43,736. </w:t>
      </w:r>
      <w:r w:rsidR="000A6452">
        <w:t xml:space="preserve">It is </w:t>
      </w:r>
      <w:r w:rsidR="00511865">
        <w:t>recommend</w:t>
      </w:r>
      <w:r w:rsidR="000A6452">
        <w:t>ed</w:t>
      </w:r>
      <w:r w:rsidR="00511865">
        <w:t xml:space="preserve"> that we put this theme out for open bidding to enable other support organisations the opportunity to bid for this funding.</w:t>
      </w:r>
    </w:p>
    <w:p w14:paraId="0F4EEC84" w14:textId="77777777" w:rsidR="007D78AA" w:rsidRDefault="007D78AA" w:rsidP="007D78AA">
      <w:pPr>
        <w:spacing w:after="0"/>
        <w:ind w:left="360"/>
        <w:jc w:val="both"/>
      </w:pPr>
    </w:p>
    <w:p w14:paraId="61D42F1C" w14:textId="1E65D07E" w:rsidR="00511865" w:rsidRDefault="00511865" w:rsidP="00511865">
      <w:pPr>
        <w:pStyle w:val="ListParagraph"/>
        <w:numPr>
          <w:ilvl w:val="0"/>
          <w:numId w:val="16"/>
        </w:numPr>
        <w:spacing w:after="0"/>
        <w:jc w:val="both"/>
      </w:pPr>
      <w:r>
        <w:lastRenderedPageBreak/>
        <w:t>Through our monitoring additional areas of critical training have been identified such as financial planning and charitable trading. It is proposed that £5,000 of the alloca</w:t>
      </w:r>
      <w:r w:rsidR="000A6452">
        <w:t xml:space="preserve">tion for this theme is retained </w:t>
      </w:r>
      <w:r>
        <w:t>by Oxford City Council to commission specialist training for the sector</w:t>
      </w:r>
      <w:r w:rsidR="00700F0B">
        <w:t>.</w:t>
      </w:r>
    </w:p>
    <w:p w14:paraId="242036FD" w14:textId="77777777" w:rsidR="00511865" w:rsidRDefault="00511865" w:rsidP="007D78AA">
      <w:pPr>
        <w:spacing w:after="0"/>
        <w:ind w:left="360"/>
        <w:jc w:val="both"/>
      </w:pPr>
    </w:p>
    <w:p w14:paraId="02EA5E62" w14:textId="77777777" w:rsidR="007D78AA" w:rsidRDefault="007D78AA" w:rsidP="001F0252">
      <w:pPr>
        <w:pStyle w:val="ListParagraph"/>
        <w:numPr>
          <w:ilvl w:val="0"/>
          <w:numId w:val="16"/>
        </w:numPr>
        <w:spacing w:after="0"/>
        <w:jc w:val="both"/>
      </w:pPr>
      <w:r>
        <w:t xml:space="preserve">We also propose that an independent evaluation of the grants programme at the end of the </w:t>
      </w:r>
      <w:r w:rsidR="006C570C">
        <w:t>three</w:t>
      </w:r>
      <w:r>
        <w:t xml:space="preserve"> year programme is </w:t>
      </w:r>
      <w:r w:rsidR="003C46E2">
        <w:t xml:space="preserve">undertaken </w:t>
      </w:r>
      <w:r>
        <w:t xml:space="preserve">to review social value and provide </w:t>
      </w:r>
      <w:r w:rsidR="000A6452">
        <w:t xml:space="preserve">an </w:t>
      </w:r>
      <w:r>
        <w:t>evidence base</w:t>
      </w:r>
      <w:r w:rsidR="000A6452">
        <w:t xml:space="preserve"> to inform</w:t>
      </w:r>
      <w:r>
        <w:t xml:space="preserve"> </w:t>
      </w:r>
      <w:r w:rsidR="00BD007C">
        <w:t>future funding recommendations which could possibly be used to encourage other donors to target inequality and cohesion in Oxford.</w:t>
      </w:r>
    </w:p>
    <w:p w14:paraId="74337A3D" w14:textId="77777777" w:rsidR="00E70D2B" w:rsidRDefault="00E70D2B" w:rsidP="00E70D2B">
      <w:pPr>
        <w:spacing w:after="0"/>
        <w:ind w:left="360"/>
        <w:jc w:val="both"/>
      </w:pPr>
    </w:p>
    <w:p w14:paraId="75E56F8B" w14:textId="77777777" w:rsidR="00E70D2B" w:rsidRPr="00E70D2B" w:rsidRDefault="00E70D2B" w:rsidP="00E70D2B">
      <w:pPr>
        <w:spacing w:after="0"/>
        <w:ind w:left="360"/>
        <w:jc w:val="both"/>
        <w:rPr>
          <w:b/>
        </w:rPr>
      </w:pPr>
      <w:r w:rsidRPr="00E70D2B">
        <w:rPr>
          <w:b/>
        </w:rPr>
        <w:t>Inclusive Arts and Culture</w:t>
      </w:r>
    </w:p>
    <w:p w14:paraId="7DF5224D" w14:textId="77777777" w:rsidR="007D78AA" w:rsidRDefault="007D78AA" w:rsidP="001F0252">
      <w:pPr>
        <w:pStyle w:val="ListParagraph"/>
        <w:numPr>
          <w:ilvl w:val="0"/>
          <w:numId w:val="16"/>
        </w:numPr>
        <w:spacing w:after="0"/>
        <w:jc w:val="both"/>
      </w:pPr>
      <w:r>
        <w:t xml:space="preserve">During the last </w:t>
      </w:r>
      <w:r w:rsidR="006C570C">
        <w:t>three</w:t>
      </w:r>
      <w:r>
        <w:t xml:space="preserve"> years organisations funded through the inclusive arts and culture theme (</w:t>
      </w:r>
      <w:r w:rsidR="003C46E2">
        <w:t>allocation</w:t>
      </w:r>
      <w:r>
        <w:t xml:space="preserve"> £235,262) have offered a wide range of employment and training opportunities for emerging artists. Cultural activities help build a sense of community and pride within communities.</w:t>
      </w:r>
    </w:p>
    <w:p w14:paraId="4031D916" w14:textId="77777777" w:rsidR="007D78AA" w:rsidRDefault="007D78AA" w:rsidP="007D78AA">
      <w:pPr>
        <w:jc w:val="both"/>
      </w:pPr>
    </w:p>
    <w:p w14:paraId="5361F73C" w14:textId="77777777" w:rsidR="007D78AA" w:rsidRDefault="007D78AA" w:rsidP="001F0252">
      <w:pPr>
        <w:pStyle w:val="ListParagraph"/>
        <w:numPr>
          <w:ilvl w:val="0"/>
          <w:numId w:val="16"/>
        </w:numPr>
        <w:autoSpaceDE w:val="0"/>
        <w:autoSpaceDN w:val="0"/>
        <w:adjustRightInd w:val="0"/>
        <w:spacing w:after="0"/>
        <w:jc w:val="both"/>
      </w:pPr>
      <w:r>
        <w:t>The scope of work for organisations applying to the inclusive arts and culture theme would focus on delivery against the Council’s Culture Strategy. The key priorities within the Culture Strategy and which organisations would apply against are</w:t>
      </w:r>
      <w:r w:rsidR="001F0252">
        <w:t>:</w:t>
      </w:r>
    </w:p>
    <w:p w14:paraId="70569541" w14:textId="77777777" w:rsidR="007D78AA" w:rsidRDefault="007D78AA" w:rsidP="007D78AA">
      <w:pPr>
        <w:autoSpaceDE w:val="0"/>
        <w:autoSpaceDN w:val="0"/>
        <w:adjustRightInd w:val="0"/>
        <w:spacing w:after="0"/>
        <w:jc w:val="both"/>
      </w:pPr>
    </w:p>
    <w:p w14:paraId="44A8E45C" w14:textId="77777777" w:rsidR="007D78AA" w:rsidRDefault="007D78AA" w:rsidP="007D78AA">
      <w:pPr>
        <w:pStyle w:val="ListParagraph"/>
        <w:numPr>
          <w:ilvl w:val="0"/>
          <w:numId w:val="19"/>
        </w:numPr>
        <w:autoSpaceDE w:val="0"/>
        <w:autoSpaceDN w:val="0"/>
        <w:adjustRightInd w:val="0"/>
        <w:spacing w:after="0"/>
        <w:ind w:left="1775" w:hanging="357"/>
        <w:jc w:val="both"/>
      </w:pPr>
      <w:r>
        <w:t>Support the sustainability of Oxford’s cultural sector and improve the skills and diversity of the city’s current and future creative workforce</w:t>
      </w:r>
    </w:p>
    <w:p w14:paraId="1E4D801B" w14:textId="77777777" w:rsidR="007D78AA" w:rsidRDefault="007D78AA" w:rsidP="007D78AA">
      <w:pPr>
        <w:pStyle w:val="ListParagraph"/>
        <w:numPr>
          <w:ilvl w:val="0"/>
          <w:numId w:val="19"/>
        </w:numPr>
        <w:autoSpaceDE w:val="0"/>
        <w:autoSpaceDN w:val="0"/>
        <w:adjustRightInd w:val="0"/>
        <w:spacing w:after="0"/>
        <w:ind w:left="1775" w:hanging="357"/>
        <w:jc w:val="both"/>
      </w:pPr>
      <w:r>
        <w:t>Improve opportunities for Oxford’s diverse range of communities to be inspired by culture and to engage actively in a range of creative activities</w:t>
      </w:r>
    </w:p>
    <w:p w14:paraId="1E3847C1" w14:textId="77777777" w:rsidR="007D78AA" w:rsidRPr="00FD5396" w:rsidRDefault="007D78AA" w:rsidP="007D78AA">
      <w:pPr>
        <w:pStyle w:val="ListParagraph"/>
        <w:numPr>
          <w:ilvl w:val="0"/>
          <w:numId w:val="19"/>
        </w:numPr>
        <w:autoSpaceDE w:val="0"/>
        <w:autoSpaceDN w:val="0"/>
        <w:adjustRightInd w:val="0"/>
        <w:spacing w:after="0"/>
        <w:ind w:left="1775" w:hanging="357"/>
        <w:jc w:val="both"/>
        <w:rPr>
          <w:rFonts w:ascii="Calibri" w:hAnsi="Calibri" w:cs="Calibri"/>
        </w:rPr>
      </w:pPr>
      <w:r>
        <w:t>Improve opportunities for young people to access and actively participate in cultural activities</w:t>
      </w:r>
    </w:p>
    <w:p w14:paraId="70257693" w14:textId="77777777" w:rsidR="007D78AA" w:rsidRDefault="007D78AA" w:rsidP="007D78AA">
      <w:pPr>
        <w:autoSpaceDE w:val="0"/>
        <w:autoSpaceDN w:val="0"/>
        <w:adjustRightInd w:val="0"/>
        <w:spacing w:after="0"/>
        <w:jc w:val="both"/>
      </w:pPr>
      <w:r w:rsidRPr="00FD5396">
        <w:rPr>
          <w:rFonts w:ascii="Calibri" w:hAnsi="Calibri" w:cs="Calibri"/>
        </w:rPr>
        <w:t xml:space="preserve"> </w:t>
      </w:r>
    </w:p>
    <w:p w14:paraId="6842DFD5" w14:textId="77777777" w:rsidR="009848E1" w:rsidRDefault="007D78AA" w:rsidP="001F0252">
      <w:pPr>
        <w:pStyle w:val="ListParagraph"/>
        <w:numPr>
          <w:ilvl w:val="0"/>
          <w:numId w:val="16"/>
        </w:numPr>
        <w:spacing w:after="0"/>
        <w:jc w:val="both"/>
      </w:pPr>
      <w:r>
        <w:t>Therefore</w:t>
      </w:r>
      <w:r w:rsidR="00E70D2B">
        <w:t xml:space="preserve"> it is </w:t>
      </w:r>
      <w:r w:rsidR="000A6452">
        <w:t>recommended that</w:t>
      </w:r>
      <w:r w:rsidR="00E70D2B">
        <w:t xml:space="preserve"> the Arts Council model of grant making </w:t>
      </w:r>
      <w:r w:rsidR="000A6452">
        <w:t>is followed</w:t>
      </w:r>
      <w:r w:rsidR="00E70D2B">
        <w:t xml:space="preserve"> allowing organisations to bid for funding to deliver against these priorities over a three year funding programme, but with a one year ‘holding over’ period for commissioned </w:t>
      </w:r>
      <w:r w:rsidR="009848E1">
        <w:t>organisation</w:t>
      </w:r>
      <w:r w:rsidR="00E70D2B">
        <w:t xml:space="preserve">s in 2018/19 to </w:t>
      </w:r>
      <w:r w:rsidR="006C570C">
        <w:t>enable more in-depth conversations with them as to how this will best work</w:t>
      </w:r>
      <w:r w:rsidR="00E70D2B">
        <w:t xml:space="preserve">. </w:t>
      </w:r>
    </w:p>
    <w:p w14:paraId="6891E716" w14:textId="77777777" w:rsidR="009848E1" w:rsidRDefault="009848E1" w:rsidP="009848E1">
      <w:pPr>
        <w:pStyle w:val="ListParagraph"/>
        <w:numPr>
          <w:ilvl w:val="0"/>
          <w:numId w:val="0"/>
        </w:numPr>
        <w:spacing w:after="0"/>
        <w:ind w:left="720"/>
        <w:jc w:val="both"/>
      </w:pPr>
    </w:p>
    <w:p w14:paraId="405B28BC" w14:textId="77777777" w:rsidR="007D78AA" w:rsidRDefault="00E70D2B" w:rsidP="001F0252">
      <w:pPr>
        <w:pStyle w:val="ListParagraph"/>
        <w:numPr>
          <w:ilvl w:val="0"/>
          <w:numId w:val="16"/>
        </w:numPr>
        <w:spacing w:after="0"/>
        <w:jc w:val="both"/>
      </w:pPr>
      <w:r>
        <w:t>I</w:t>
      </w:r>
      <w:r w:rsidR="007D78AA">
        <w:t xml:space="preserve">t is recommended that </w:t>
      </w:r>
      <w:r w:rsidR="000A6452">
        <w:t>the</w:t>
      </w:r>
      <w:r w:rsidR="001F0252">
        <w:t xml:space="preserve"> inclusive arts and culture theme to be put out to </w:t>
      </w:r>
      <w:r w:rsidR="006B79CD">
        <w:t>open bidding</w:t>
      </w:r>
      <w:r w:rsidR="001F0252">
        <w:t>.</w:t>
      </w:r>
    </w:p>
    <w:p w14:paraId="043683CD" w14:textId="77777777" w:rsidR="007D78AA" w:rsidRDefault="007D78AA" w:rsidP="007D78AA">
      <w:pPr>
        <w:tabs>
          <w:tab w:val="left" w:pos="1168"/>
        </w:tabs>
        <w:spacing w:after="0"/>
        <w:jc w:val="both"/>
        <w:rPr>
          <w:b/>
        </w:rPr>
      </w:pPr>
    </w:p>
    <w:p w14:paraId="5C31B831" w14:textId="79917F6C" w:rsidR="000A203A" w:rsidRDefault="000A203A" w:rsidP="000A203A">
      <w:pPr>
        <w:tabs>
          <w:tab w:val="left" w:pos="1168"/>
        </w:tabs>
        <w:spacing w:after="0"/>
        <w:ind w:left="357"/>
        <w:jc w:val="both"/>
        <w:rPr>
          <w:b/>
        </w:rPr>
      </w:pPr>
      <w:r>
        <w:rPr>
          <w:b/>
        </w:rPr>
        <w:t>Advice and Money Management</w:t>
      </w:r>
    </w:p>
    <w:p w14:paraId="3A6AF83C" w14:textId="7C8CB0DD" w:rsidR="007D78AA" w:rsidRDefault="00FF4444" w:rsidP="007D78AA">
      <w:pPr>
        <w:pStyle w:val="NoSpacing"/>
        <w:spacing w:after="0"/>
        <w:ind w:left="714" w:hanging="357"/>
        <w:jc w:val="both"/>
      </w:pPr>
      <w:r>
        <w:t>3</w:t>
      </w:r>
      <w:r w:rsidR="00793C49">
        <w:t>0</w:t>
      </w:r>
      <w:r w:rsidR="00700F0B">
        <w:t>.</w:t>
      </w:r>
      <w:r>
        <w:tab/>
        <w:t>Und</w:t>
      </w:r>
      <w:r w:rsidR="007D78AA">
        <w:t>er the Advice and Money Management theme t</w:t>
      </w:r>
      <w:r w:rsidR="007D78AA" w:rsidRPr="00B41249">
        <w:t>he Council provides funding and commissions organisations to provide independent advice to support residents facing social and financial problems.</w:t>
      </w:r>
      <w:r w:rsidR="007D78AA">
        <w:t xml:space="preserve"> </w:t>
      </w:r>
    </w:p>
    <w:p w14:paraId="34C1E872" w14:textId="77777777" w:rsidR="007D78AA" w:rsidRDefault="007D78AA" w:rsidP="007D78AA">
      <w:pPr>
        <w:pStyle w:val="NoSpacing"/>
        <w:spacing w:after="0"/>
      </w:pPr>
    </w:p>
    <w:p w14:paraId="0DFF1E4E" w14:textId="48AFA621" w:rsidR="007D78AA" w:rsidRDefault="00FF4444" w:rsidP="007D78AA">
      <w:pPr>
        <w:pStyle w:val="NoSpacing"/>
        <w:spacing w:after="0"/>
        <w:ind w:left="714" w:hanging="357"/>
        <w:jc w:val="both"/>
      </w:pPr>
      <w:r>
        <w:t>3</w:t>
      </w:r>
      <w:r w:rsidR="00793C49">
        <w:t>1</w:t>
      </w:r>
      <w:r w:rsidR="007D78AA">
        <w:t>.</w:t>
      </w:r>
      <w:r w:rsidR="007D78AA">
        <w:tab/>
        <w:t>The Council commissioned a review of these services this year, to support the work in recommissioning them for 2018 to 2021. The review</w:t>
      </w:r>
      <w:r w:rsidR="006C570C">
        <w:t>,</w:t>
      </w:r>
      <w:r w:rsidR="007D78AA">
        <w:t xml:space="preserve"> undertaken by Advice UK</w:t>
      </w:r>
      <w:r w:rsidR="006C570C">
        <w:t>,</w:t>
      </w:r>
      <w:r w:rsidR="007D78AA">
        <w:t xml:space="preserve"> concluded that funding for advice services has met local needs, and represents good value for money. It recommends maintaining the Council’s existing approach of strategic grant funding for the sector.</w:t>
      </w:r>
    </w:p>
    <w:p w14:paraId="0F3A555B" w14:textId="77777777" w:rsidR="007D78AA" w:rsidRDefault="007D78AA" w:rsidP="007D78AA">
      <w:pPr>
        <w:pStyle w:val="NoSpacing"/>
        <w:spacing w:after="0"/>
      </w:pPr>
    </w:p>
    <w:p w14:paraId="4BE92E51" w14:textId="2ECF4518" w:rsidR="007D78AA" w:rsidRDefault="009848E1" w:rsidP="007D78AA">
      <w:pPr>
        <w:pStyle w:val="NoSpacing"/>
        <w:spacing w:after="0"/>
        <w:ind w:left="714" w:hanging="357"/>
        <w:jc w:val="both"/>
      </w:pPr>
      <w:r>
        <w:lastRenderedPageBreak/>
        <w:t>3</w:t>
      </w:r>
      <w:r w:rsidR="00793C49">
        <w:t>2</w:t>
      </w:r>
      <w:r w:rsidR="007D78AA">
        <w:t>.</w:t>
      </w:r>
      <w:r w:rsidR="007D78AA">
        <w:tab/>
        <w:t xml:space="preserve">A strategic grant funding approach </w:t>
      </w:r>
      <w:r w:rsidR="007D78AA" w:rsidRPr="00B51C5C">
        <w:t>allows organisations to respond flexibly to uncertain trends in demand</w:t>
      </w:r>
      <w:r w:rsidR="007D78AA">
        <w:t xml:space="preserve">. Provision of core funding by the Council allows the advice sector to lever in additional funding. </w:t>
      </w:r>
    </w:p>
    <w:p w14:paraId="4BA2C459" w14:textId="77777777" w:rsidR="007D78AA" w:rsidRDefault="007D78AA" w:rsidP="007D78AA">
      <w:pPr>
        <w:pStyle w:val="NoSpacing"/>
      </w:pPr>
    </w:p>
    <w:p w14:paraId="3E536BE4" w14:textId="1FE45716" w:rsidR="007D78AA" w:rsidRDefault="009848E1" w:rsidP="007D78AA">
      <w:pPr>
        <w:pStyle w:val="NoSpacing"/>
        <w:spacing w:after="0"/>
        <w:ind w:left="714" w:hanging="357"/>
      </w:pPr>
      <w:r>
        <w:t>3</w:t>
      </w:r>
      <w:r w:rsidR="00793C49">
        <w:t>3</w:t>
      </w:r>
      <w:r w:rsidR="007D78AA">
        <w:t>.</w:t>
      </w:r>
      <w:r w:rsidR="007D78AA">
        <w:tab/>
      </w:r>
      <w:r>
        <w:t xml:space="preserve">It is </w:t>
      </w:r>
      <w:r w:rsidR="00FF4444">
        <w:t>recommended</w:t>
      </w:r>
      <w:r>
        <w:t xml:space="preserve"> that the organisations currently commissioned to deliver advice and money management services, are retained for a further three year period, and that funding for 2018/19 is distributed in </w:t>
      </w:r>
      <w:r w:rsidR="00FF4444">
        <w:t xml:space="preserve">a similar manner to </w:t>
      </w:r>
      <w:r>
        <w:t>the current year, subject to the provision in paragraph 3</w:t>
      </w:r>
      <w:r w:rsidR="00946305">
        <w:t>6</w:t>
      </w:r>
      <w:r>
        <w:t>, below, and to agreement being obtained in the Council’s budget setting process. A revised specification for services is shown in Appendix 3. This has been informed by the review referenced above, discussions with existing providers and the Council’s revised Financial Inclusion Strategy</w:t>
      </w:r>
      <w:r w:rsidR="007D78AA">
        <w:t>.</w:t>
      </w:r>
    </w:p>
    <w:p w14:paraId="215ED056" w14:textId="77777777" w:rsidR="007D78AA" w:rsidRDefault="007D78AA" w:rsidP="007D78AA">
      <w:pPr>
        <w:pStyle w:val="NoSpacing"/>
        <w:spacing w:after="0"/>
        <w:ind w:left="714" w:hanging="357"/>
      </w:pPr>
    </w:p>
    <w:p w14:paraId="4D6B4A29" w14:textId="5703E27F" w:rsidR="007D78AA" w:rsidRDefault="00FF4444" w:rsidP="007D78AA">
      <w:pPr>
        <w:pStyle w:val="NoSpacing"/>
        <w:spacing w:after="0"/>
        <w:ind w:left="714" w:hanging="357"/>
      </w:pPr>
      <w:r>
        <w:t>3</w:t>
      </w:r>
      <w:r w:rsidR="00793C49">
        <w:t>4</w:t>
      </w:r>
      <w:proofErr w:type="gramStart"/>
      <w:r w:rsidR="00700F0B">
        <w:t>.</w:t>
      </w:r>
      <w:r w:rsidR="007D78AA">
        <w:t>Th</w:t>
      </w:r>
      <w:r>
        <w:t>e</w:t>
      </w:r>
      <w:proofErr w:type="gramEnd"/>
      <w:r>
        <w:t xml:space="preserve"> specification</w:t>
      </w:r>
      <w:r w:rsidR="007D78AA">
        <w:t xml:space="preserve"> focuses services on maximising clients’ income, reducing and managing client debt, and improving client’s skills in managing income and accessing services online. In order to receive funding existing providers will need to provide a response to the specification outlining how they will deliver the service and achieve the specified outcomes. This will be undertaken as follows.</w:t>
      </w:r>
    </w:p>
    <w:p w14:paraId="2808D559" w14:textId="77777777" w:rsidR="007D78AA" w:rsidRDefault="007D78AA" w:rsidP="007D78AA">
      <w:pPr>
        <w:pStyle w:val="NoSpacing"/>
        <w:spacing w:after="0"/>
        <w:ind w:left="714" w:hanging="357"/>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6"/>
      </w:tblGrid>
      <w:tr w:rsidR="007D78AA" w:rsidRPr="00053B7F" w14:paraId="2390E087" w14:textId="77777777" w:rsidTr="006042E0">
        <w:tc>
          <w:tcPr>
            <w:tcW w:w="3969" w:type="dxa"/>
            <w:shd w:val="clear" w:color="auto" w:fill="auto"/>
          </w:tcPr>
          <w:p w14:paraId="75ED71A0" w14:textId="77777777" w:rsidR="007D78AA" w:rsidRPr="00053B7F" w:rsidRDefault="007D78AA" w:rsidP="006042E0">
            <w:pPr>
              <w:spacing w:after="0"/>
              <w:jc w:val="center"/>
              <w:rPr>
                <w:rFonts w:eastAsia="Calibri"/>
                <w:b/>
              </w:rPr>
            </w:pPr>
            <w:r w:rsidRPr="00053B7F">
              <w:rPr>
                <w:rFonts w:eastAsia="Calibri"/>
                <w:b/>
              </w:rPr>
              <w:t>Date</w:t>
            </w:r>
          </w:p>
        </w:tc>
        <w:tc>
          <w:tcPr>
            <w:tcW w:w="4536" w:type="dxa"/>
            <w:shd w:val="clear" w:color="auto" w:fill="auto"/>
          </w:tcPr>
          <w:p w14:paraId="312CED1B" w14:textId="77777777" w:rsidR="007D78AA" w:rsidRPr="00053B7F" w:rsidRDefault="007D78AA" w:rsidP="006042E0">
            <w:pPr>
              <w:spacing w:after="0"/>
              <w:jc w:val="center"/>
              <w:rPr>
                <w:rFonts w:eastAsia="Calibri"/>
                <w:b/>
              </w:rPr>
            </w:pPr>
            <w:r w:rsidRPr="00053B7F">
              <w:rPr>
                <w:rFonts w:eastAsia="Calibri"/>
                <w:b/>
              </w:rPr>
              <w:t>Action</w:t>
            </w:r>
          </w:p>
        </w:tc>
      </w:tr>
      <w:tr w:rsidR="007D78AA" w:rsidRPr="00053B7F" w14:paraId="4BEFF354" w14:textId="77777777" w:rsidTr="006042E0">
        <w:tc>
          <w:tcPr>
            <w:tcW w:w="3969" w:type="dxa"/>
            <w:shd w:val="clear" w:color="auto" w:fill="auto"/>
          </w:tcPr>
          <w:p w14:paraId="08026BF8" w14:textId="4E967A9F" w:rsidR="007D78AA" w:rsidRPr="00053B7F" w:rsidRDefault="007D78AA" w:rsidP="00C50C8E">
            <w:pPr>
              <w:spacing w:after="0"/>
              <w:rPr>
                <w:rFonts w:eastAsia="Calibri"/>
              </w:rPr>
            </w:pPr>
            <w:r w:rsidRPr="00053B7F">
              <w:rPr>
                <w:rFonts w:eastAsia="Calibri"/>
              </w:rPr>
              <w:t xml:space="preserve">Week commencing </w:t>
            </w:r>
            <w:r w:rsidR="00C50C8E">
              <w:rPr>
                <w:rFonts w:eastAsia="Calibri"/>
              </w:rPr>
              <w:t>20 November</w:t>
            </w:r>
            <w:r>
              <w:rPr>
                <w:rFonts w:eastAsia="Calibri"/>
              </w:rPr>
              <w:t xml:space="preserve"> 2017</w:t>
            </w:r>
          </w:p>
        </w:tc>
        <w:tc>
          <w:tcPr>
            <w:tcW w:w="4536" w:type="dxa"/>
            <w:shd w:val="clear" w:color="auto" w:fill="auto"/>
          </w:tcPr>
          <w:p w14:paraId="5FF4C329" w14:textId="77777777" w:rsidR="007D78AA" w:rsidRPr="00053B7F" w:rsidRDefault="007D78AA" w:rsidP="006042E0">
            <w:pPr>
              <w:spacing w:after="0"/>
              <w:rPr>
                <w:rFonts w:eastAsia="Calibri"/>
              </w:rPr>
            </w:pPr>
            <w:r w:rsidRPr="00053B7F">
              <w:rPr>
                <w:rFonts w:eastAsia="Calibri"/>
              </w:rPr>
              <w:t>Written invitation to organisations to apply for funding</w:t>
            </w:r>
          </w:p>
        </w:tc>
      </w:tr>
      <w:tr w:rsidR="007D78AA" w:rsidRPr="00053B7F" w14:paraId="418B085D" w14:textId="77777777" w:rsidTr="006042E0">
        <w:tc>
          <w:tcPr>
            <w:tcW w:w="3969" w:type="dxa"/>
            <w:shd w:val="clear" w:color="auto" w:fill="auto"/>
          </w:tcPr>
          <w:p w14:paraId="4F56CBE2" w14:textId="395B646B" w:rsidR="007D78AA" w:rsidRPr="00053B7F" w:rsidRDefault="00C50C8E" w:rsidP="00C50C8E">
            <w:pPr>
              <w:spacing w:after="0"/>
              <w:rPr>
                <w:rFonts w:eastAsia="Calibri"/>
              </w:rPr>
            </w:pPr>
            <w:r>
              <w:rPr>
                <w:rFonts w:eastAsia="Calibri"/>
              </w:rPr>
              <w:t xml:space="preserve">12 January </w:t>
            </w:r>
            <w:r w:rsidR="007D78AA">
              <w:rPr>
                <w:rFonts w:eastAsia="Calibri"/>
              </w:rPr>
              <w:t xml:space="preserve"> 201</w:t>
            </w:r>
            <w:r>
              <w:rPr>
                <w:rFonts w:eastAsia="Calibri"/>
              </w:rPr>
              <w:t>8</w:t>
            </w:r>
          </w:p>
        </w:tc>
        <w:tc>
          <w:tcPr>
            <w:tcW w:w="4536" w:type="dxa"/>
            <w:shd w:val="clear" w:color="auto" w:fill="auto"/>
          </w:tcPr>
          <w:p w14:paraId="4FD88C4B" w14:textId="77777777" w:rsidR="007D78AA" w:rsidRPr="00053B7F" w:rsidRDefault="007D78AA" w:rsidP="006042E0">
            <w:pPr>
              <w:spacing w:after="0"/>
              <w:rPr>
                <w:rFonts w:eastAsia="Calibri"/>
              </w:rPr>
            </w:pPr>
            <w:r w:rsidRPr="00053B7F">
              <w:rPr>
                <w:rFonts w:eastAsia="Calibri"/>
              </w:rPr>
              <w:t>Deadline for responses</w:t>
            </w:r>
          </w:p>
        </w:tc>
      </w:tr>
      <w:tr w:rsidR="007D78AA" w:rsidRPr="00053B7F" w14:paraId="3798249E" w14:textId="77777777" w:rsidTr="006042E0">
        <w:tc>
          <w:tcPr>
            <w:tcW w:w="3969" w:type="dxa"/>
            <w:shd w:val="clear" w:color="auto" w:fill="auto"/>
          </w:tcPr>
          <w:p w14:paraId="0DCCBFF0" w14:textId="53190047" w:rsidR="007D78AA" w:rsidRPr="00053B7F" w:rsidRDefault="00C50C8E" w:rsidP="00C50C8E">
            <w:pPr>
              <w:spacing w:after="0"/>
              <w:rPr>
                <w:rFonts w:eastAsia="Calibri"/>
              </w:rPr>
            </w:pPr>
            <w:r>
              <w:rPr>
                <w:rFonts w:eastAsia="Calibri"/>
              </w:rPr>
              <w:t>15 January</w:t>
            </w:r>
            <w:r w:rsidR="007D78AA" w:rsidRPr="00053B7F">
              <w:rPr>
                <w:rFonts w:eastAsia="Calibri"/>
              </w:rPr>
              <w:t xml:space="preserve"> 201</w:t>
            </w:r>
            <w:r>
              <w:rPr>
                <w:rFonts w:eastAsia="Calibri"/>
              </w:rPr>
              <w:t>8</w:t>
            </w:r>
            <w:r w:rsidR="007D78AA" w:rsidRPr="00053B7F">
              <w:rPr>
                <w:rFonts w:eastAsia="Calibri"/>
              </w:rPr>
              <w:t xml:space="preserve"> – </w:t>
            </w:r>
            <w:r>
              <w:rPr>
                <w:rFonts w:eastAsia="Calibri"/>
              </w:rPr>
              <w:t>26 January 2018</w:t>
            </w:r>
          </w:p>
        </w:tc>
        <w:tc>
          <w:tcPr>
            <w:tcW w:w="4536" w:type="dxa"/>
            <w:shd w:val="clear" w:color="auto" w:fill="auto"/>
          </w:tcPr>
          <w:p w14:paraId="02EC201A" w14:textId="77777777" w:rsidR="007D78AA" w:rsidRPr="00053B7F" w:rsidRDefault="007D78AA" w:rsidP="006042E0">
            <w:pPr>
              <w:spacing w:after="0"/>
              <w:rPr>
                <w:rFonts w:eastAsia="Calibri"/>
              </w:rPr>
            </w:pPr>
            <w:r w:rsidRPr="00053B7F">
              <w:rPr>
                <w:rFonts w:eastAsia="Calibri"/>
              </w:rPr>
              <w:t>Council will seek clarification on responses where required</w:t>
            </w:r>
          </w:p>
        </w:tc>
      </w:tr>
      <w:tr w:rsidR="007D78AA" w:rsidRPr="00053B7F" w14:paraId="58CC498E" w14:textId="77777777" w:rsidTr="006042E0">
        <w:tc>
          <w:tcPr>
            <w:tcW w:w="3969" w:type="dxa"/>
            <w:shd w:val="clear" w:color="auto" w:fill="auto"/>
          </w:tcPr>
          <w:p w14:paraId="62C18A74" w14:textId="77777777" w:rsidR="007D78AA" w:rsidRPr="00053B7F" w:rsidRDefault="007D78AA" w:rsidP="006042E0">
            <w:pPr>
              <w:spacing w:after="0"/>
              <w:rPr>
                <w:rFonts w:eastAsia="Calibri"/>
              </w:rPr>
            </w:pPr>
            <w:r w:rsidRPr="00053B7F">
              <w:rPr>
                <w:rFonts w:eastAsia="Calibri"/>
              </w:rPr>
              <w:t>1</w:t>
            </w:r>
            <w:r>
              <w:rPr>
                <w:rFonts w:eastAsia="Calibri"/>
              </w:rPr>
              <w:t>3</w:t>
            </w:r>
            <w:r w:rsidRPr="00053B7F">
              <w:rPr>
                <w:rFonts w:eastAsia="Calibri"/>
              </w:rPr>
              <w:t xml:space="preserve"> </w:t>
            </w:r>
            <w:r>
              <w:rPr>
                <w:rFonts w:eastAsia="Calibri"/>
              </w:rPr>
              <w:t>February 2018</w:t>
            </w:r>
          </w:p>
        </w:tc>
        <w:tc>
          <w:tcPr>
            <w:tcW w:w="4536" w:type="dxa"/>
            <w:shd w:val="clear" w:color="auto" w:fill="auto"/>
          </w:tcPr>
          <w:p w14:paraId="35E978CE" w14:textId="099BF7B7" w:rsidR="007D78AA" w:rsidRPr="00053B7F" w:rsidRDefault="007D78AA" w:rsidP="006042E0">
            <w:pPr>
              <w:spacing w:after="0"/>
              <w:rPr>
                <w:rFonts w:eastAsia="Calibri"/>
              </w:rPr>
            </w:pPr>
            <w:r w:rsidRPr="00053B7F">
              <w:rPr>
                <w:rFonts w:eastAsia="Calibri"/>
              </w:rPr>
              <w:t>CEB to consider report</w:t>
            </w:r>
            <w:r w:rsidR="0002575B">
              <w:rPr>
                <w:rFonts w:eastAsia="Calibri"/>
              </w:rPr>
              <w:t xml:space="preserve"> including advice organisations funding recommendations</w:t>
            </w:r>
          </w:p>
        </w:tc>
      </w:tr>
    </w:tbl>
    <w:p w14:paraId="302EBACF" w14:textId="77777777" w:rsidR="007D78AA" w:rsidRDefault="007D78AA" w:rsidP="007D78AA">
      <w:pPr>
        <w:pStyle w:val="NoSpacing"/>
      </w:pPr>
    </w:p>
    <w:p w14:paraId="0BC15219" w14:textId="02F32AE1" w:rsidR="007D78AA" w:rsidRDefault="007D78AA" w:rsidP="007D78AA">
      <w:pPr>
        <w:pStyle w:val="NoSpacing"/>
        <w:spacing w:after="0"/>
        <w:ind w:left="714" w:hanging="357"/>
      </w:pPr>
      <w:r>
        <w:t>3</w:t>
      </w:r>
      <w:r w:rsidR="00793C49">
        <w:t>5</w:t>
      </w:r>
      <w:r>
        <w:t>.</w:t>
      </w:r>
      <w:r>
        <w:tab/>
        <w:t>The Council recognises the challenge for commissioned services in balancing funding of frontline advice work with that required to develop services. As such it is proposed that</w:t>
      </w:r>
      <w:r w:rsidR="003417D5">
        <w:t xml:space="preserve"> a</w:t>
      </w:r>
      <w:r>
        <w:t xml:space="preserve"> funding </w:t>
      </w:r>
      <w:r w:rsidR="00FF4444">
        <w:t xml:space="preserve">pot </w:t>
      </w:r>
      <w:r>
        <w:t xml:space="preserve">is made available to support service development. </w:t>
      </w:r>
      <w:r w:rsidR="002113BA">
        <w:t xml:space="preserve">This will be </w:t>
      </w:r>
      <w:r w:rsidR="0067232F">
        <w:t xml:space="preserve">created by </w:t>
      </w:r>
      <w:r w:rsidR="00793C70">
        <w:t>mak</w:t>
      </w:r>
      <w:r w:rsidR="002113BA">
        <w:t xml:space="preserve">ing a 5% reduction to the direct funding that goes to organisations, </w:t>
      </w:r>
      <w:proofErr w:type="gramStart"/>
      <w:r w:rsidR="0067232F">
        <w:t>(</w:t>
      </w:r>
      <w:r w:rsidR="002113BA">
        <w:t xml:space="preserve"> £</w:t>
      </w:r>
      <w:proofErr w:type="gramEnd"/>
      <w:r w:rsidR="002113BA">
        <w:t xml:space="preserve">24,918 </w:t>
      </w:r>
      <w:r w:rsidR="0067232F">
        <w:t xml:space="preserve">per </w:t>
      </w:r>
      <w:r w:rsidR="002113BA">
        <w:t>annu</w:t>
      </w:r>
      <w:r w:rsidR="00692C64">
        <w:t>m</w:t>
      </w:r>
      <w:r w:rsidR="00193022">
        <w:t>)</w:t>
      </w:r>
      <w:r w:rsidR="002113BA">
        <w:t>.</w:t>
      </w:r>
      <w:r w:rsidR="006364E3">
        <w:t>and adding the</w:t>
      </w:r>
      <w:r w:rsidR="002113BA">
        <w:t xml:space="preserve"> </w:t>
      </w:r>
      <w:r>
        <w:t xml:space="preserve"> £20,000</w:t>
      </w:r>
      <w:r w:rsidR="002113BA">
        <w:t xml:space="preserve"> reserved each year </w:t>
      </w:r>
      <w:r w:rsidR="00246B9D">
        <w:t>for</w:t>
      </w:r>
      <w:r w:rsidR="002113BA">
        <w:t xml:space="preserve"> priorities identified during the year</w:t>
      </w:r>
      <w:r w:rsidR="00946305">
        <w:t xml:space="preserve">, </w:t>
      </w:r>
      <w:r w:rsidR="002113BA">
        <w:t xml:space="preserve"> making a total of £44,918 annually.</w:t>
      </w:r>
      <w:r>
        <w:t xml:space="preserve"> For the 2018-21 funding cycle, it is proposed that this is available for commissioned services to make partnership bids in order to develop the following areas:</w:t>
      </w:r>
    </w:p>
    <w:p w14:paraId="127733B8" w14:textId="77777777" w:rsidR="007D78AA" w:rsidRDefault="007D78AA" w:rsidP="007D78AA">
      <w:pPr>
        <w:spacing w:after="0"/>
        <w:ind w:left="360"/>
      </w:pPr>
    </w:p>
    <w:p w14:paraId="0207DAE3" w14:textId="77777777" w:rsidR="007D78AA" w:rsidRPr="00A33D38" w:rsidRDefault="007D78AA" w:rsidP="007D78AA">
      <w:pPr>
        <w:numPr>
          <w:ilvl w:val="0"/>
          <w:numId w:val="21"/>
        </w:numPr>
        <w:spacing w:after="0"/>
        <w:ind w:left="1491" w:hanging="357"/>
      </w:pPr>
      <w:r w:rsidRPr="00A33D38">
        <w:t xml:space="preserve">Work to reduce visits which are not of value to the customer </w:t>
      </w:r>
    </w:p>
    <w:p w14:paraId="0264DD0F" w14:textId="77777777" w:rsidR="007D78AA" w:rsidRPr="00A33D38" w:rsidRDefault="007D78AA" w:rsidP="007D78AA">
      <w:pPr>
        <w:numPr>
          <w:ilvl w:val="0"/>
          <w:numId w:val="21"/>
        </w:numPr>
        <w:spacing w:after="0"/>
        <w:ind w:left="1491" w:hanging="357"/>
      </w:pPr>
      <w:r w:rsidRPr="00A33D38">
        <w:t>Improving the outcomes obtained in the following areas:</w:t>
      </w:r>
    </w:p>
    <w:p w14:paraId="72812A77" w14:textId="77777777" w:rsidR="007D78AA" w:rsidRPr="00A33D38" w:rsidRDefault="007D78AA" w:rsidP="007D78AA">
      <w:pPr>
        <w:numPr>
          <w:ilvl w:val="1"/>
          <w:numId w:val="21"/>
        </w:numPr>
        <w:spacing w:after="0"/>
        <w:ind w:left="2058" w:hanging="357"/>
      </w:pPr>
      <w:r w:rsidRPr="00A33D38">
        <w:t>Removing barriers to employment</w:t>
      </w:r>
    </w:p>
    <w:p w14:paraId="604719E6" w14:textId="77777777" w:rsidR="007D78AA" w:rsidRPr="00A33D38" w:rsidRDefault="007D78AA" w:rsidP="007D78AA">
      <w:pPr>
        <w:numPr>
          <w:ilvl w:val="1"/>
          <w:numId w:val="21"/>
        </w:numPr>
        <w:spacing w:after="0"/>
        <w:ind w:left="2058" w:hanging="357"/>
      </w:pPr>
      <w:r w:rsidRPr="00A33D38">
        <w:t>Improving digital skills</w:t>
      </w:r>
    </w:p>
    <w:p w14:paraId="22B97CE0" w14:textId="77777777" w:rsidR="007D78AA" w:rsidRPr="00A33D38" w:rsidRDefault="007D78AA" w:rsidP="007D78AA">
      <w:pPr>
        <w:numPr>
          <w:ilvl w:val="1"/>
          <w:numId w:val="21"/>
        </w:numPr>
        <w:spacing w:after="0"/>
        <w:ind w:left="2058" w:hanging="357"/>
      </w:pPr>
      <w:r w:rsidRPr="00A33D38">
        <w:t>Reducing fuel poverty</w:t>
      </w:r>
    </w:p>
    <w:p w14:paraId="40F85B91" w14:textId="77777777" w:rsidR="007D78AA" w:rsidRPr="00A33D38" w:rsidRDefault="007D78AA" w:rsidP="007D78AA">
      <w:pPr>
        <w:numPr>
          <w:ilvl w:val="0"/>
          <w:numId w:val="21"/>
        </w:numPr>
        <w:spacing w:after="0"/>
        <w:ind w:left="1491" w:hanging="357"/>
      </w:pPr>
      <w:r w:rsidRPr="00A33D38">
        <w:t>Improving access to advice services for areas of the city without local provision</w:t>
      </w:r>
    </w:p>
    <w:p w14:paraId="12DD9A60" w14:textId="77777777" w:rsidR="007D78AA" w:rsidRPr="00A33D38" w:rsidRDefault="007D78AA" w:rsidP="007D78AA">
      <w:pPr>
        <w:numPr>
          <w:ilvl w:val="0"/>
          <w:numId w:val="21"/>
        </w:numPr>
        <w:spacing w:after="0"/>
        <w:ind w:left="1491" w:hanging="357"/>
      </w:pPr>
      <w:r w:rsidRPr="00A33D38">
        <w:t>Developing digital advice services</w:t>
      </w:r>
    </w:p>
    <w:p w14:paraId="5A782067" w14:textId="77777777" w:rsidR="007D78AA" w:rsidRDefault="007D78AA" w:rsidP="007D78AA">
      <w:pPr>
        <w:pStyle w:val="NoSpacing"/>
      </w:pPr>
    </w:p>
    <w:p w14:paraId="4D7FECDA" w14:textId="0B578D71" w:rsidR="007D78AA" w:rsidRDefault="009848E1" w:rsidP="007D78AA">
      <w:pPr>
        <w:pStyle w:val="NoSpacing"/>
        <w:spacing w:after="0"/>
        <w:ind w:left="714" w:hanging="357"/>
        <w:jc w:val="both"/>
      </w:pPr>
      <w:r>
        <w:t>3</w:t>
      </w:r>
      <w:r w:rsidR="00793C49">
        <w:t>6</w:t>
      </w:r>
      <w:proofErr w:type="gramStart"/>
      <w:r w:rsidR="00700F0B">
        <w:t>.</w:t>
      </w:r>
      <w:r w:rsidR="007D78AA">
        <w:t>The</w:t>
      </w:r>
      <w:proofErr w:type="gramEnd"/>
      <w:r w:rsidR="007D78AA">
        <w:t xml:space="preserve"> above include </w:t>
      </w:r>
      <w:r w:rsidR="00793C70">
        <w:t xml:space="preserve">areas of </w:t>
      </w:r>
      <w:r w:rsidR="007D78AA">
        <w:t xml:space="preserve">development work recommended in the Advice UK review. The review also </w:t>
      </w:r>
      <w:r w:rsidR="00793C70">
        <w:t>identified</w:t>
      </w:r>
      <w:r w:rsidR="007D78AA">
        <w:t xml:space="preserve"> other areas of development these are not </w:t>
      </w:r>
      <w:r w:rsidR="007D78AA">
        <w:lastRenderedPageBreak/>
        <w:t xml:space="preserve">included because commissioned services, together with other partners, have been successful in obtaining Big Lottery funding to improve the way people in crisis are supported. </w:t>
      </w:r>
    </w:p>
    <w:p w14:paraId="6C1BEA9D" w14:textId="77777777" w:rsidR="007D78AA" w:rsidRDefault="007D78AA" w:rsidP="007D78AA">
      <w:pPr>
        <w:tabs>
          <w:tab w:val="left" w:pos="1168"/>
        </w:tabs>
        <w:spacing w:after="0"/>
        <w:jc w:val="both"/>
        <w:rPr>
          <w:b/>
        </w:rPr>
      </w:pPr>
    </w:p>
    <w:p w14:paraId="0604771C" w14:textId="77777777" w:rsidR="007D78AA" w:rsidRPr="00FC1734" w:rsidRDefault="007D78AA" w:rsidP="007D78AA">
      <w:pPr>
        <w:tabs>
          <w:tab w:val="left" w:pos="1168"/>
        </w:tabs>
        <w:spacing w:after="0"/>
        <w:jc w:val="both"/>
        <w:rPr>
          <w:b/>
        </w:rPr>
      </w:pPr>
      <w:r w:rsidRPr="00FC1734">
        <w:rPr>
          <w:b/>
        </w:rPr>
        <w:t>Consultation with community and voluntary groups</w:t>
      </w:r>
    </w:p>
    <w:p w14:paraId="745A1A33" w14:textId="1C037679" w:rsidR="007D78AA" w:rsidRDefault="009848E1" w:rsidP="007D78AA">
      <w:pPr>
        <w:tabs>
          <w:tab w:val="left" w:pos="1168"/>
        </w:tabs>
        <w:spacing w:after="0"/>
        <w:ind w:left="720" w:hanging="360"/>
        <w:jc w:val="both"/>
      </w:pPr>
      <w:r>
        <w:t>3</w:t>
      </w:r>
      <w:r w:rsidR="00793C49">
        <w:t>7</w:t>
      </w:r>
      <w:r w:rsidR="007D78AA">
        <w:t>.</w:t>
      </w:r>
      <w:r w:rsidR="007D78AA">
        <w:tab/>
        <w:t xml:space="preserve">In December 2016 a consultation was carried out with groups that had applied for funding through the open bidding grants programme last year; we received a 51% </w:t>
      </w:r>
      <w:r w:rsidR="00BD007C">
        <w:t xml:space="preserve">(17) </w:t>
      </w:r>
      <w:r w:rsidR="007D78AA">
        <w:t xml:space="preserve">response rate. The consultation asked groups about:- </w:t>
      </w:r>
    </w:p>
    <w:p w14:paraId="3FAC1D19" w14:textId="77777777" w:rsidR="007D78AA" w:rsidRDefault="007D78AA" w:rsidP="007D78AA">
      <w:pPr>
        <w:tabs>
          <w:tab w:val="left" w:pos="1168"/>
        </w:tabs>
        <w:spacing w:after="0"/>
        <w:ind w:left="360"/>
        <w:jc w:val="both"/>
      </w:pPr>
    </w:p>
    <w:p w14:paraId="48E52A9D" w14:textId="77777777" w:rsidR="007D78AA" w:rsidRDefault="007D78AA" w:rsidP="007D78AA">
      <w:pPr>
        <w:pStyle w:val="ListParagraph"/>
        <w:numPr>
          <w:ilvl w:val="0"/>
          <w:numId w:val="17"/>
        </w:numPr>
        <w:tabs>
          <w:tab w:val="left" w:pos="1168"/>
        </w:tabs>
        <w:spacing w:after="0"/>
        <w:ind w:left="1831" w:hanging="357"/>
        <w:jc w:val="both"/>
      </w:pPr>
      <w:r>
        <w:t xml:space="preserve">The application and the process </w:t>
      </w:r>
    </w:p>
    <w:p w14:paraId="1AA09D68" w14:textId="77777777" w:rsidR="007D78AA" w:rsidRDefault="007D78AA" w:rsidP="007D78AA">
      <w:pPr>
        <w:pStyle w:val="ListParagraph"/>
        <w:numPr>
          <w:ilvl w:val="0"/>
          <w:numId w:val="17"/>
        </w:numPr>
        <w:tabs>
          <w:tab w:val="left" w:pos="1168"/>
        </w:tabs>
        <w:spacing w:after="0"/>
        <w:ind w:left="1831" w:hanging="357"/>
        <w:jc w:val="both"/>
      </w:pPr>
      <w:r>
        <w:t xml:space="preserve">Significant challenges and risks they faced in the next 3 years </w:t>
      </w:r>
    </w:p>
    <w:p w14:paraId="1EC3667D" w14:textId="77777777" w:rsidR="007D78AA" w:rsidRDefault="007D78AA" w:rsidP="007D78AA">
      <w:pPr>
        <w:pStyle w:val="ListParagraph"/>
        <w:numPr>
          <w:ilvl w:val="0"/>
          <w:numId w:val="17"/>
        </w:numPr>
        <w:tabs>
          <w:tab w:val="left" w:pos="1168"/>
        </w:tabs>
        <w:spacing w:after="0"/>
        <w:ind w:left="1831" w:hanging="357"/>
        <w:jc w:val="both"/>
      </w:pPr>
      <w:r>
        <w:t>What would help them with these challenges / risks and how the council could help with these risks and challenges</w:t>
      </w:r>
    </w:p>
    <w:p w14:paraId="493F9CBB" w14:textId="77777777" w:rsidR="007D78AA" w:rsidRDefault="007D78AA" w:rsidP="007D78AA">
      <w:pPr>
        <w:pStyle w:val="ListParagraph"/>
        <w:numPr>
          <w:ilvl w:val="0"/>
          <w:numId w:val="17"/>
        </w:numPr>
        <w:tabs>
          <w:tab w:val="left" w:pos="1168"/>
        </w:tabs>
        <w:spacing w:after="0"/>
        <w:ind w:left="1831" w:hanging="357"/>
        <w:jc w:val="both"/>
      </w:pPr>
      <w:r>
        <w:t xml:space="preserve">Other ways in which the Council could help their organisation. </w:t>
      </w:r>
    </w:p>
    <w:p w14:paraId="286C8B2D" w14:textId="77777777" w:rsidR="007D78AA" w:rsidRDefault="007D78AA" w:rsidP="007D78AA">
      <w:pPr>
        <w:tabs>
          <w:tab w:val="left" w:pos="1168"/>
        </w:tabs>
        <w:spacing w:after="0"/>
        <w:jc w:val="both"/>
      </w:pPr>
    </w:p>
    <w:p w14:paraId="6723FDA2" w14:textId="200F37A3" w:rsidR="007D78AA" w:rsidRDefault="007D78AA" w:rsidP="007D78AA">
      <w:pPr>
        <w:tabs>
          <w:tab w:val="left" w:pos="1168"/>
        </w:tabs>
        <w:spacing w:after="0"/>
        <w:ind w:left="720" w:hanging="360"/>
        <w:jc w:val="both"/>
      </w:pPr>
      <w:r>
        <w:t>3</w:t>
      </w:r>
      <w:r w:rsidR="00793C49">
        <w:t>8</w:t>
      </w:r>
      <w:r>
        <w:t>.</w:t>
      </w:r>
      <w:r>
        <w:tab/>
        <w:t>88% of respondents were satisfied with the process, 100% said the guidance notes were clear, 93% agreed that terms and conditions for funding were clear and easy to understand and 13% felt more detailed feedback was needed on why some applications received only part of what they applied for.</w:t>
      </w:r>
    </w:p>
    <w:p w14:paraId="6AC62A35" w14:textId="77777777" w:rsidR="007D78AA" w:rsidRDefault="007D78AA" w:rsidP="007D78AA">
      <w:pPr>
        <w:tabs>
          <w:tab w:val="left" w:pos="1168"/>
        </w:tabs>
        <w:spacing w:after="0"/>
        <w:jc w:val="both"/>
      </w:pPr>
    </w:p>
    <w:p w14:paraId="4F4E24D8" w14:textId="53F254EA" w:rsidR="007D78AA" w:rsidRDefault="00793C49" w:rsidP="007D78AA">
      <w:pPr>
        <w:tabs>
          <w:tab w:val="left" w:pos="1168"/>
        </w:tabs>
        <w:spacing w:after="0"/>
        <w:ind w:left="714" w:hanging="357"/>
        <w:jc w:val="both"/>
      </w:pPr>
      <w:r>
        <w:t>39</w:t>
      </w:r>
      <w:r w:rsidR="007D78AA">
        <w:t xml:space="preserve">. For the next </w:t>
      </w:r>
      <w:r w:rsidR="00D67AA2">
        <w:t>three</w:t>
      </w:r>
      <w:r w:rsidR="007D78AA">
        <w:t xml:space="preserve"> years rising costs and growing demand were identified as the main areas of concern. </w:t>
      </w:r>
    </w:p>
    <w:p w14:paraId="03E85A66" w14:textId="77777777" w:rsidR="007D78AA" w:rsidRDefault="007D78AA" w:rsidP="007D78AA">
      <w:pPr>
        <w:tabs>
          <w:tab w:val="left" w:pos="1168"/>
        </w:tabs>
        <w:spacing w:after="0"/>
        <w:jc w:val="both"/>
      </w:pPr>
    </w:p>
    <w:p w14:paraId="03E0AC10" w14:textId="172BBA67" w:rsidR="007D78AA" w:rsidRDefault="009848E1" w:rsidP="007D78AA">
      <w:pPr>
        <w:tabs>
          <w:tab w:val="left" w:pos="1168"/>
        </w:tabs>
        <w:spacing w:after="0"/>
        <w:ind w:left="714" w:hanging="357"/>
        <w:jc w:val="both"/>
      </w:pPr>
      <w:r>
        <w:t>4</w:t>
      </w:r>
      <w:r w:rsidR="00793C49">
        <w:t>0</w:t>
      </w:r>
      <w:r w:rsidR="007D78AA">
        <w:t xml:space="preserve">. To help with these challenges groups asked for Council support on free use of rooms in Council run premises, support with long term funding, support on volunteering development, more promotion and publicity of grant funded activities and the impact made. </w:t>
      </w:r>
    </w:p>
    <w:p w14:paraId="5D358D58" w14:textId="77777777" w:rsidR="007D78AA" w:rsidRDefault="007D78AA" w:rsidP="007D78AA">
      <w:pPr>
        <w:tabs>
          <w:tab w:val="left" w:pos="1168"/>
        </w:tabs>
        <w:spacing w:after="0"/>
        <w:jc w:val="both"/>
      </w:pPr>
    </w:p>
    <w:p w14:paraId="6A7C5743" w14:textId="60CFCA39" w:rsidR="007D78AA" w:rsidRDefault="009848E1" w:rsidP="007D78AA">
      <w:pPr>
        <w:tabs>
          <w:tab w:val="left" w:pos="1168"/>
        </w:tabs>
        <w:spacing w:after="0"/>
        <w:ind w:left="720" w:hanging="360"/>
        <w:jc w:val="both"/>
      </w:pPr>
      <w:r>
        <w:t>4</w:t>
      </w:r>
      <w:r w:rsidR="00793C49">
        <w:t>1</w:t>
      </w:r>
      <w:r w:rsidR="007D78AA">
        <w:t>.</w:t>
      </w:r>
      <w:r w:rsidR="007D78AA">
        <w:tab/>
        <w:t>To support the challenge of facilities we are working on an application process for free use of Town Hall rooms. Community groups will need to demonstrate the social benefit and impacts that they deliver to obtain free use.</w:t>
      </w:r>
    </w:p>
    <w:p w14:paraId="3F2C8D91" w14:textId="77777777" w:rsidR="005E5D91" w:rsidRDefault="005E5D91" w:rsidP="007D78AA">
      <w:pPr>
        <w:tabs>
          <w:tab w:val="left" w:pos="1168"/>
        </w:tabs>
        <w:spacing w:after="0"/>
        <w:ind w:left="720" w:hanging="360"/>
        <w:jc w:val="both"/>
      </w:pPr>
    </w:p>
    <w:p w14:paraId="2B3FC08E" w14:textId="448486CD" w:rsidR="005E5D91" w:rsidRDefault="009848E1" w:rsidP="007D78AA">
      <w:pPr>
        <w:tabs>
          <w:tab w:val="left" w:pos="1168"/>
        </w:tabs>
        <w:spacing w:after="0"/>
        <w:ind w:left="720" w:hanging="360"/>
        <w:jc w:val="both"/>
      </w:pPr>
      <w:r>
        <w:t>4</w:t>
      </w:r>
      <w:r w:rsidR="00793C49">
        <w:t>2</w:t>
      </w:r>
      <w:r w:rsidR="005E5D91">
        <w:t>. We are also working to develop a consistent policy for reduced room hire rates at Council run community centres</w:t>
      </w:r>
      <w:r w:rsidR="005E5D91" w:rsidRPr="005E5D91">
        <w:t xml:space="preserve"> </w:t>
      </w:r>
      <w:r w:rsidR="005E5D91">
        <w:t>for community groups which support the Council priorities.</w:t>
      </w:r>
    </w:p>
    <w:p w14:paraId="47CAC900" w14:textId="77777777" w:rsidR="00832C35" w:rsidRDefault="00832C35" w:rsidP="007D78AA">
      <w:pPr>
        <w:tabs>
          <w:tab w:val="left" w:pos="1168"/>
        </w:tabs>
        <w:spacing w:after="0"/>
        <w:ind w:left="720" w:hanging="360"/>
        <w:jc w:val="both"/>
      </w:pPr>
    </w:p>
    <w:p w14:paraId="498DCE6E" w14:textId="77777777" w:rsidR="007D78AA" w:rsidRDefault="007D78AA" w:rsidP="007D78AA">
      <w:pPr>
        <w:spacing w:after="0"/>
        <w:jc w:val="both"/>
        <w:rPr>
          <w:rFonts w:cs="Arial"/>
        </w:rPr>
      </w:pPr>
    </w:p>
    <w:p w14:paraId="60352C19" w14:textId="77777777" w:rsidR="007D78AA" w:rsidRPr="00027C95" w:rsidRDefault="007D78AA" w:rsidP="007D78AA">
      <w:pPr>
        <w:spacing w:after="0"/>
        <w:jc w:val="both"/>
        <w:rPr>
          <w:b/>
        </w:rPr>
      </w:pPr>
      <w:r>
        <w:rPr>
          <w:b/>
        </w:rPr>
        <w:t>Social and Financial Impact</w:t>
      </w:r>
    </w:p>
    <w:p w14:paraId="72E9A8A0" w14:textId="0EB0CD72" w:rsidR="007D78AA" w:rsidRDefault="009848E1" w:rsidP="007D78AA">
      <w:pPr>
        <w:spacing w:after="0"/>
        <w:ind w:left="720" w:hanging="360"/>
        <w:jc w:val="both"/>
      </w:pPr>
      <w:r>
        <w:t>4</w:t>
      </w:r>
      <w:r w:rsidR="00793C49">
        <w:t>3</w:t>
      </w:r>
      <w:r w:rsidR="007D78AA">
        <w:t>.</w:t>
      </w:r>
      <w:r w:rsidR="005E5D91">
        <w:tab/>
      </w:r>
      <w:r w:rsidR="007D78AA">
        <w:t xml:space="preserve">In 2015/16 the community grants programme funded 71 groups and 268,886 Oxford residents were counted as benefitting (please note that </w:t>
      </w:r>
      <w:r w:rsidR="005E5D91">
        <w:t>many residents</w:t>
      </w:r>
      <w:r w:rsidR="007D78AA">
        <w:t xml:space="preserve"> benefited from more than one project/activity or event funded).</w:t>
      </w:r>
    </w:p>
    <w:p w14:paraId="08F6F166" w14:textId="77777777" w:rsidR="007D78AA" w:rsidRDefault="007D78AA" w:rsidP="007D78AA">
      <w:pPr>
        <w:spacing w:after="0"/>
        <w:ind w:firstLine="720"/>
        <w:jc w:val="both"/>
      </w:pPr>
    </w:p>
    <w:p w14:paraId="04977F7E" w14:textId="635C1F30" w:rsidR="007D78AA" w:rsidRDefault="009848E1" w:rsidP="007D78AA">
      <w:pPr>
        <w:spacing w:after="0"/>
        <w:ind w:left="720" w:hanging="360"/>
        <w:jc w:val="both"/>
      </w:pPr>
      <w:r>
        <w:t>4</w:t>
      </w:r>
      <w:r w:rsidR="00793C49">
        <w:t>4</w:t>
      </w:r>
      <w:r w:rsidR="005E5D91">
        <w:t>.</w:t>
      </w:r>
      <w:r w:rsidR="005E5D91">
        <w:tab/>
      </w:r>
      <w:r w:rsidR="007D78AA">
        <w:t xml:space="preserve">Grant monitoring information </w:t>
      </w:r>
      <w:r w:rsidR="00184443">
        <w:t xml:space="preserve">shows that by investing in these themes Oxford City Council makes a vital contribution to organisations who in turn secure </w:t>
      </w:r>
      <w:r w:rsidR="007D78AA">
        <w:t>an additional £11,015,908 from other funding resources</w:t>
      </w:r>
      <w:r w:rsidR="00184443">
        <w:t>. It is clear that without this investment the amount of additional funding coming to the city would be drastically reduced. There are also further direct financial benefits for residents of Oxford</w:t>
      </w:r>
      <w:r w:rsidR="007D78AA">
        <w:t xml:space="preserve">, </w:t>
      </w:r>
      <w:r w:rsidR="00184443">
        <w:t>for example,</w:t>
      </w:r>
      <w:r w:rsidR="007D78AA">
        <w:t xml:space="preserve"> for every £1 spent by Oxford CAB (wh</w:t>
      </w:r>
      <w:r w:rsidR="00184443">
        <w:t>ich</w:t>
      </w:r>
      <w:r w:rsidR="007D78AA">
        <w:t xml:space="preserve"> is funded through the commissioning programme) their client’s benefited by £10.94</w:t>
      </w:r>
      <w:r w:rsidR="00184443">
        <w:t>,</w:t>
      </w:r>
      <w:r w:rsidR="007D78AA">
        <w:t xml:space="preserve"> improving the quality of people’s lives and support</w:t>
      </w:r>
      <w:r w:rsidR="00184443">
        <w:t>ing</w:t>
      </w:r>
      <w:r w:rsidR="007D78AA">
        <w:t xml:space="preserve"> people out of debt.</w:t>
      </w:r>
    </w:p>
    <w:p w14:paraId="4302C968" w14:textId="77777777" w:rsidR="007D78AA" w:rsidRDefault="007D78AA" w:rsidP="007D78AA">
      <w:pPr>
        <w:spacing w:after="0"/>
        <w:jc w:val="both"/>
      </w:pPr>
    </w:p>
    <w:p w14:paraId="5CF5834E" w14:textId="1654DC22" w:rsidR="007D78AA" w:rsidRDefault="009848E1" w:rsidP="007D78AA">
      <w:pPr>
        <w:spacing w:after="0"/>
        <w:ind w:left="720" w:hanging="360"/>
      </w:pPr>
      <w:r>
        <w:t>4</w:t>
      </w:r>
      <w:r w:rsidR="00793C49">
        <w:t>5</w:t>
      </w:r>
      <w:r w:rsidR="007D78AA">
        <w:t>.</w:t>
      </w:r>
      <w:r w:rsidR="007D78AA">
        <w:tab/>
        <w:t xml:space="preserve">For more information on social impact and the difference the grants programme makes to disadvantaged people view the short films recently made of some funded groups. </w:t>
      </w:r>
      <w:hyperlink r:id="rId9" w:history="1">
        <w:r w:rsidR="007D78AA">
          <w:rPr>
            <w:rStyle w:val="Hyperlink"/>
          </w:rPr>
          <w:t>https://www.youtube.com/playlist?list=PL40HSZ84zdJYyruh2Hr7lW2CVdr5Ko62g</w:t>
        </w:r>
      </w:hyperlink>
      <w:r w:rsidR="007D78AA">
        <w:t xml:space="preserve"> </w:t>
      </w:r>
    </w:p>
    <w:p w14:paraId="51BB3016" w14:textId="77777777" w:rsidR="007D78AA" w:rsidRDefault="007D78AA" w:rsidP="007D78AA">
      <w:pPr>
        <w:spacing w:after="0"/>
        <w:jc w:val="both"/>
      </w:pPr>
    </w:p>
    <w:p w14:paraId="508DD19A" w14:textId="77777777" w:rsidR="00793C49" w:rsidRDefault="00793C49" w:rsidP="007D78AA">
      <w:pPr>
        <w:spacing w:after="0"/>
        <w:jc w:val="both"/>
        <w:rPr>
          <w:b/>
        </w:rPr>
      </w:pPr>
    </w:p>
    <w:p w14:paraId="15309349" w14:textId="77777777" w:rsidR="007D78AA" w:rsidRDefault="007D78AA" w:rsidP="007D78AA">
      <w:pPr>
        <w:spacing w:after="0"/>
        <w:jc w:val="both"/>
        <w:rPr>
          <w:b/>
        </w:rPr>
      </w:pPr>
      <w:r w:rsidRPr="00B07113">
        <w:rPr>
          <w:b/>
        </w:rPr>
        <w:t>Proposals</w:t>
      </w:r>
    </w:p>
    <w:p w14:paraId="038F2274" w14:textId="77777777" w:rsidR="007D78AA" w:rsidRPr="00B07113" w:rsidRDefault="007D78AA" w:rsidP="007D78AA">
      <w:pPr>
        <w:spacing w:after="0"/>
        <w:jc w:val="both"/>
        <w:rPr>
          <w:b/>
        </w:rPr>
      </w:pPr>
    </w:p>
    <w:p w14:paraId="252961D5" w14:textId="2F9BB0B7" w:rsidR="007D78AA" w:rsidRDefault="007D78AA" w:rsidP="007D78AA">
      <w:pPr>
        <w:spacing w:after="0"/>
        <w:ind w:left="360"/>
        <w:jc w:val="both"/>
      </w:pPr>
      <w:r>
        <w:t>4</w:t>
      </w:r>
      <w:r w:rsidR="00793C49">
        <w:t>6</w:t>
      </w:r>
      <w:r>
        <w:t>.</w:t>
      </w:r>
      <w:r>
        <w:tab/>
        <w:t>Some of our proposals to enhance the community grants programme include</w:t>
      </w:r>
      <w:r w:rsidR="005E5D91">
        <w:t>:</w:t>
      </w:r>
    </w:p>
    <w:p w14:paraId="3F9AE9DE" w14:textId="77777777" w:rsidR="007D78AA" w:rsidRDefault="007D78AA" w:rsidP="00BD007C">
      <w:pPr>
        <w:spacing w:after="0"/>
        <w:ind w:left="1418"/>
        <w:jc w:val="both"/>
      </w:pPr>
    </w:p>
    <w:p w14:paraId="350ABA0C" w14:textId="77777777" w:rsidR="007D78AA" w:rsidRDefault="007D78AA" w:rsidP="007D78AA">
      <w:pPr>
        <w:pStyle w:val="ListParagraph"/>
        <w:numPr>
          <w:ilvl w:val="0"/>
          <w:numId w:val="15"/>
        </w:numPr>
        <w:spacing w:after="0"/>
        <w:ind w:left="1775" w:hanging="357"/>
        <w:jc w:val="both"/>
      </w:pPr>
      <w:r>
        <w:t xml:space="preserve">To limit the </w:t>
      </w:r>
      <w:r w:rsidR="005E5D91">
        <w:t xml:space="preserve">size of </w:t>
      </w:r>
      <w:r>
        <w:t xml:space="preserve">groups that can apply to </w:t>
      </w:r>
      <w:r w:rsidR="005E5D91">
        <w:t xml:space="preserve">the small grants </w:t>
      </w:r>
      <w:r>
        <w:t>programme we propose introducing an income ceiling of £200,000 for applicants as part of the criteria</w:t>
      </w:r>
    </w:p>
    <w:p w14:paraId="77903460" w14:textId="77777777" w:rsidR="007D78AA" w:rsidRDefault="007D78AA" w:rsidP="007D78AA">
      <w:pPr>
        <w:pStyle w:val="ListParagraph"/>
        <w:numPr>
          <w:ilvl w:val="0"/>
          <w:numId w:val="15"/>
        </w:numPr>
        <w:spacing w:after="0"/>
        <w:ind w:left="1775" w:hanging="357"/>
        <w:jc w:val="both"/>
      </w:pPr>
      <w:r>
        <w:t>Lighten reporting and application process so that it’s proportionate to the value of grant awarded or being applied for</w:t>
      </w:r>
    </w:p>
    <w:p w14:paraId="723634CB" w14:textId="77777777" w:rsidR="006B79CD" w:rsidRDefault="00184443" w:rsidP="007D78AA">
      <w:pPr>
        <w:pStyle w:val="ListParagraph"/>
        <w:numPr>
          <w:ilvl w:val="0"/>
          <w:numId w:val="15"/>
        </w:numPr>
        <w:spacing w:after="0"/>
        <w:ind w:left="1775" w:hanging="357"/>
        <w:jc w:val="both"/>
      </w:pPr>
      <w:r>
        <w:t>Be clear</w:t>
      </w:r>
      <w:r w:rsidR="00270E44">
        <w:t>er</w:t>
      </w:r>
      <w:r>
        <w:t xml:space="preserve"> with organisations about the </w:t>
      </w:r>
      <w:r w:rsidR="009E0FDB">
        <w:t xml:space="preserve">cash </w:t>
      </w:r>
      <w:r>
        <w:t xml:space="preserve">value of subsidies </w:t>
      </w:r>
      <w:r w:rsidR="009E0FDB">
        <w:t>funde</w:t>
      </w:r>
      <w:r>
        <w:t>d through the programme (e.g. rent)</w:t>
      </w:r>
      <w:r w:rsidR="00270E44">
        <w:t xml:space="preserve"> and the expectation this brings regarding </w:t>
      </w:r>
      <w:r w:rsidR="006B79CD">
        <w:t>delivering against Council priorities</w:t>
      </w:r>
    </w:p>
    <w:p w14:paraId="24943B92" w14:textId="77777777" w:rsidR="006B79CD" w:rsidRDefault="00D67AA2" w:rsidP="007D78AA">
      <w:pPr>
        <w:pStyle w:val="ListParagraph"/>
        <w:numPr>
          <w:ilvl w:val="0"/>
          <w:numId w:val="15"/>
        </w:numPr>
        <w:spacing w:after="0"/>
        <w:ind w:left="1775" w:hanging="357"/>
        <w:jc w:val="both"/>
      </w:pPr>
      <w:r>
        <w:t>Improve how we work with f</w:t>
      </w:r>
      <w:r w:rsidR="006B79CD">
        <w:t>unded organisations to promote the impact of Council funding</w:t>
      </w:r>
    </w:p>
    <w:p w14:paraId="65BE1233" w14:textId="77777777" w:rsidR="007D78AA" w:rsidRPr="007E69CE" w:rsidRDefault="007D78AA" w:rsidP="007D78AA">
      <w:pPr>
        <w:spacing w:after="0"/>
        <w:jc w:val="both"/>
      </w:pPr>
    </w:p>
    <w:p w14:paraId="47CD1747" w14:textId="77777777" w:rsidR="007D78AA" w:rsidRDefault="007D78AA" w:rsidP="007D78AA">
      <w:pPr>
        <w:spacing w:after="0"/>
        <w:jc w:val="both"/>
        <w:rPr>
          <w:b/>
        </w:rPr>
      </w:pPr>
      <w:r w:rsidRPr="005C06BF">
        <w:rPr>
          <w:b/>
        </w:rPr>
        <w:t>Climate Change / Environmental Impact</w:t>
      </w:r>
    </w:p>
    <w:p w14:paraId="2202D616" w14:textId="15A1F596" w:rsidR="007D78AA" w:rsidRPr="00832C35" w:rsidRDefault="007D78AA" w:rsidP="00832C35">
      <w:pPr>
        <w:spacing w:after="0"/>
        <w:ind w:left="720" w:hanging="360"/>
        <w:jc w:val="both"/>
      </w:pPr>
      <w:r>
        <w:t>4</w:t>
      </w:r>
      <w:r w:rsidR="00793C49">
        <w:t>7</w:t>
      </w:r>
      <w:r>
        <w:t>.</w:t>
      </w:r>
      <w:r>
        <w:tab/>
        <w:t xml:space="preserve">Funded organisations are made </w:t>
      </w:r>
      <w:r w:rsidRPr="005C06BF">
        <w:t xml:space="preserve">aware of </w:t>
      </w:r>
      <w:r>
        <w:t>the</w:t>
      </w:r>
      <w:r w:rsidRPr="005C06BF">
        <w:t xml:space="preserve"> Council</w:t>
      </w:r>
      <w:r>
        <w:t>’s</w:t>
      </w:r>
      <w:r w:rsidRPr="005C06BF">
        <w:t xml:space="preserve"> </w:t>
      </w:r>
      <w:r>
        <w:t>c</w:t>
      </w:r>
      <w:r w:rsidRPr="005C06BF">
        <w:t>ommitment to reducing its carbon footprint and encourage</w:t>
      </w:r>
      <w:r>
        <w:t>d</w:t>
      </w:r>
      <w:r w:rsidRPr="005C06BF">
        <w:t xml:space="preserve"> to take similar action.</w:t>
      </w:r>
    </w:p>
    <w:p w14:paraId="61DBD4EB" w14:textId="77777777" w:rsidR="007D78AA" w:rsidRDefault="007D78AA" w:rsidP="007D78AA">
      <w:pPr>
        <w:spacing w:after="0"/>
        <w:jc w:val="both"/>
        <w:rPr>
          <w:b/>
        </w:rPr>
      </w:pPr>
    </w:p>
    <w:p w14:paraId="49842DC9" w14:textId="77777777" w:rsidR="007D78AA" w:rsidRDefault="007D78AA" w:rsidP="007D78AA">
      <w:pPr>
        <w:jc w:val="both"/>
        <w:rPr>
          <w:b/>
        </w:rPr>
      </w:pPr>
      <w:r w:rsidRPr="005C06BF">
        <w:rPr>
          <w:b/>
        </w:rPr>
        <w:t>Equalities Impact</w:t>
      </w:r>
    </w:p>
    <w:p w14:paraId="6EDD5FDE" w14:textId="0758D84B" w:rsidR="007D78AA" w:rsidRDefault="009848E1" w:rsidP="007D78AA">
      <w:pPr>
        <w:spacing w:after="0"/>
        <w:ind w:left="720" w:hanging="360"/>
        <w:jc w:val="both"/>
      </w:pPr>
      <w:r>
        <w:t>4</w:t>
      </w:r>
      <w:r w:rsidR="00793C49">
        <w:t>8</w:t>
      </w:r>
      <w:r w:rsidR="007D78AA">
        <w:t>.</w:t>
      </w:r>
      <w:r w:rsidR="007D78AA">
        <w:tab/>
      </w:r>
      <w:r w:rsidR="007D78AA" w:rsidRPr="005C06BF">
        <w:t>Some examples of how equality is positively e</w:t>
      </w:r>
      <w:r w:rsidR="007D78AA">
        <w:t xml:space="preserve">nhanced by the community grants programme at present </w:t>
      </w:r>
      <w:r w:rsidR="007D78AA" w:rsidRPr="005C06BF">
        <w:t>include</w:t>
      </w:r>
      <w:r w:rsidR="007D78AA">
        <w:t xml:space="preserve"> funding services for</w:t>
      </w:r>
      <w:r w:rsidR="007D78AA" w:rsidRPr="005C06BF">
        <w:t>:</w:t>
      </w:r>
    </w:p>
    <w:p w14:paraId="3DB3BE69" w14:textId="77777777" w:rsidR="007D78AA" w:rsidRPr="005C06BF" w:rsidRDefault="007D78AA" w:rsidP="007D78AA">
      <w:pPr>
        <w:spacing w:after="0"/>
        <w:jc w:val="both"/>
      </w:pPr>
    </w:p>
    <w:p w14:paraId="339C983D" w14:textId="77777777" w:rsidR="007D78AA" w:rsidRPr="005C06BF" w:rsidRDefault="007D78AA" w:rsidP="007D78AA">
      <w:pPr>
        <w:numPr>
          <w:ilvl w:val="0"/>
          <w:numId w:val="6"/>
        </w:numPr>
        <w:spacing w:after="0"/>
        <w:ind w:left="1775" w:hanging="357"/>
        <w:jc w:val="both"/>
      </w:pPr>
      <w:r>
        <w:t>S</w:t>
      </w:r>
      <w:r w:rsidRPr="005C06BF">
        <w:t xml:space="preserve">urvivors of rape, sexual abuse and domestic violence </w:t>
      </w:r>
    </w:p>
    <w:p w14:paraId="19892AB0" w14:textId="77777777" w:rsidR="007D78AA" w:rsidRPr="005C06BF" w:rsidRDefault="007D78AA" w:rsidP="007D78AA">
      <w:pPr>
        <w:numPr>
          <w:ilvl w:val="0"/>
          <w:numId w:val="6"/>
        </w:numPr>
        <w:spacing w:after="0"/>
        <w:ind w:left="1775" w:hanging="357"/>
        <w:jc w:val="both"/>
      </w:pPr>
      <w:r>
        <w:t>L</w:t>
      </w:r>
      <w:r w:rsidRPr="005C06BF">
        <w:t xml:space="preserve">esbian, gay, bisexual and transgender people </w:t>
      </w:r>
      <w:r>
        <w:t xml:space="preserve">by funding </w:t>
      </w:r>
      <w:r w:rsidRPr="005C06BF">
        <w:t>the Oxford Friend helpline</w:t>
      </w:r>
    </w:p>
    <w:p w14:paraId="3E376333" w14:textId="77777777" w:rsidR="007D78AA" w:rsidRDefault="007D78AA" w:rsidP="007D78AA">
      <w:pPr>
        <w:numPr>
          <w:ilvl w:val="0"/>
          <w:numId w:val="6"/>
        </w:numPr>
        <w:spacing w:after="0"/>
        <w:ind w:left="1775" w:hanging="357"/>
        <w:jc w:val="both"/>
      </w:pPr>
      <w:r>
        <w:t>P</w:t>
      </w:r>
      <w:r w:rsidRPr="005C06BF">
        <w:t xml:space="preserve">eople with disabilities, particularly children and young people with disabilities </w:t>
      </w:r>
      <w:r>
        <w:t xml:space="preserve">by currently </w:t>
      </w:r>
      <w:r w:rsidRPr="005C06BF">
        <w:t xml:space="preserve">funding Parasol </w:t>
      </w:r>
      <w:r>
        <w:t xml:space="preserve">who provide </w:t>
      </w:r>
      <w:r w:rsidRPr="005C06BF">
        <w:t>inclusive play</w:t>
      </w:r>
      <w:r>
        <w:t xml:space="preserve"> </w:t>
      </w:r>
    </w:p>
    <w:p w14:paraId="6DE57D62" w14:textId="77777777" w:rsidR="007D78AA" w:rsidRPr="005C06BF" w:rsidRDefault="007D78AA" w:rsidP="007D78AA">
      <w:pPr>
        <w:numPr>
          <w:ilvl w:val="0"/>
          <w:numId w:val="6"/>
        </w:numPr>
        <w:spacing w:after="0"/>
        <w:ind w:left="1775" w:hanging="357"/>
        <w:jc w:val="both"/>
      </w:pPr>
      <w:r>
        <w:t>O</w:t>
      </w:r>
      <w:r w:rsidRPr="005C06BF">
        <w:t xml:space="preserve">lder people, through </w:t>
      </w:r>
      <w:r>
        <w:t>su</w:t>
      </w:r>
      <w:r w:rsidRPr="005C06BF">
        <w:t xml:space="preserve">pport for specific activities </w:t>
      </w:r>
    </w:p>
    <w:p w14:paraId="1807FAFC" w14:textId="77777777" w:rsidR="007D78AA" w:rsidRPr="005C06BF" w:rsidRDefault="007D78AA" w:rsidP="007D78AA">
      <w:pPr>
        <w:numPr>
          <w:ilvl w:val="0"/>
          <w:numId w:val="6"/>
        </w:numPr>
        <w:spacing w:after="0"/>
        <w:ind w:left="1775" w:hanging="357"/>
        <w:jc w:val="both"/>
      </w:pPr>
      <w:r w:rsidRPr="005C06BF">
        <w:t>BME groups, through funding dedicated work with asylum seekers and refugees.</w:t>
      </w:r>
    </w:p>
    <w:p w14:paraId="05345C0F" w14:textId="77777777" w:rsidR="007D78AA" w:rsidRDefault="007D78AA" w:rsidP="007D78AA">
      <w:pPr>
        <w:spacing w:after="0"/>
        <w:jc w:val="both"/>
      </w:pPr>
    </w:p>
    <w:p w14:paraId="44BC5C01" w14:textId="423FE566" w:rsidR="007D78AA" w:rsidRDefault="00793C49" w:rsidP="007D78AA">
      <w:pPr>
        <w:spacing w:after="0"/>
        <w:ind w:left="720" w:hanging="360"/>
        <w:jc w:val="both"/>
      </w:pPr>
      <w:r>
        <w:t>49</w:t>
      </w:r>
      <w:r w:rsidR="007D78AA">
        <w:t>.</w:t>
      </w:r>
      <w:r w:rsidR="007D78AA">
        <w:tab/>
        <w:t xml:space="preserve"> An equalities impact assessment has been used to inform a review of the grants programme off</w:t>
      </w:r>
      <w:r w:rsidR="005430FD">
        <w:t>er and is included in Appendix 4</w:t>
      </w:r>
      <w:r w:rsidR="00700F0B">
        <w:t>.</w:t>
      </w:r>
    </w:p>
    <w:p w14:paraId="092260D1" w14:textId="77777777" w:rsidR="007D78AA" w:rsidRDefault="007D78AA" w:rsidP="007D78AA">
      <w:pPr>
        <w:spacing w:after="0"/>
        <w:jc w:val="both"/>
      </w:pPr>
    </w:p>
    <w:p w14:paraId="41967C0D" w14:textId="77777777" w:rsidR="002F3D9F" w:rsidRDefault="002F3D9F" w:rsidP="007D78AA">
      <w:pPr>
        <w:spacing w:after="0"/>
        <w:jc w:val="both"/>
      </w:pPr>
    </w:p>
    <w:p w14:paraId="4521D0B2" w14:textId="77777777" w:rsidR="002F3D9F" w:rsidRDefault="002F3D9F" w:rsidP="007D78AA">
      <w:pPr>
        <w:spacing w:after="0"/>
        <w:jc w:val="both"/>
      </w:pPr>
    </w:p>
    <w:p w14:paraId="3D500B90" w14:textId="77777777" w:rsidR="002F3D9F" w:rsidRDefault="002F3D9F" w:rsidP="007D78AA">
      <w:pPr>
        <w:spacing w:after="0"/>
        <w:jc w:val="both"/>
      </w:pPr>
    </w:p>
    <w:p w14:paraId="42D8776B" w14:textId="77777777" w:rsidR="002F3D9F" w:rsidRDefault="002F3D9F" w:rsidP="007D78AA">
      <w:pPr>
        <w:spacing w:after="0"/>
        <w:jc w:val="both"/>
      </w:pPr>
    </w:p>
    <w:p w14:paraId="056A1120" w14:textId="77777777" w:rsidR="002F3D9F" w:rsidRDefault="002F3D9F" w:rsidP="007D78AA">
      <w:pPr>
        <w:spacing w:after="0"/>
        <w:jc w:val="both"/>
      </w:pPr>
    </w:p>
    <w:p w14:paraId="511FB684" w14:textId="77777777" w:rsidR="002F3D9F" w:rsidRDefault="002F3D9F" w:rsidP="007D78AA">
      <w:pPr>
        <w:spacing w:after="0"/>
        <w:jc w:val="both"/>
      </w:pPr>
    </w:p>
    <w:p w14:paraId="06E8EC39" w14:textId="77777777" w:rsidR="00832C35" w:rsidRPr="005C06BF" w:rsidRDefault="00832C35" w:rsidP="007D78AA">
      <w:pPr>
        <w:spacing w:after="0"/>
        <w:jc w:val="both"/>
      </w:pPr>
    </w:p>
    <w:p w14:paraId="30BB0653" w14:textId="77777777" w:rsidR="007D78AA" w:rsidRDefault="007D78AA" w:rsidP="007D78AA">
      <w:pPr>
        <w:jc w:val="both"/>
        <w:rPr>
          <w:b/>
        </w:rPr>
      </w:pPr>
      <w:r>
        <w:rPr>
          <w:b/>
        </w:rPr>
        <w:lastRenderedPageBreak/>
        <w:t xml:space="preserve">Level of </w:t>
      </w:r>
      <w:r w:rsidRPr="005C06BF">
        <w:rPr>
          <w:b/>
        </w:rPr>
        <w:t>Risk</w:t>
      </w:r>
    </w:p>
    <w:p w14:paraId="11EE59CC" w14:textId="2AEC152C" w:rsidR="007D78AA" w:rsidRDefault="009848E1" w:rsidP="00832C35">
      <w:pPr>
        <w:ind w:left="360"/>
        <w:jc w:val="both"/>
      </w:pPr>
      <w:r>
        <w:t>5</w:t>
      </w:r>
      <w:r w:rsidR="00793C49">
        <w:t>0</w:t>
      </w:r>
      <w:r w:rsidR="007D78AA">
        <w:t>.</w:t>
      </w:r>
      <w:r w:rsidR="007D78AA">
        <w:tab/>
        <w:t xml:space="preserve"> Please see risk</w:t>
      </w:r>
      <w:r w:rsidR="005430FD">
        <w:t xml:space="preserve"> register attached at Appendix 5</w:t>
      </w:r>
      <w:r w:rsidR="00700F0B">
        <w:t>.</w:t>
      </w:r>
    </w:p>
    <w:p w14:paraId="2FE9BC3E" w14:textId="77777777" w:rsidR="00700F0B" w:rsidRDefault="00700F0B" w:rsidP="002F3D9F">
      <w:pPr>
        <w:jc w:val="both"/>
      </w:pPr>
    </w:p>
    <w:p w14:paraId="34E75CF5" w14:textId="77777777" w:rsidR="00700F0B" w:rsidRPr="007D5610" w:rsidRDefault="00700F0B" w:rsidP="00832C35">
      <w:pPr>
        <w:ind w:left="360"/>
        <w:jc w:val="both"/>
      </w:pPr>
    </w:p>
    <w:p w14:paraId="5C50975D" w14:textId="77777777" w:rsidR="007D78AA" w:rsidRDefault="007D78AA" w:rsidP="007D78AA">
      <w:pPr>
        <w:jc w:val="both"/>
        <w:rPr>
          <w:b/>
        </w:rPr>
      </w:pPr>
      <w:r w:rsidRPr="005C06BF">
        <w:rPr>
          <w:b/>
        </w:rPr>
        <w:t>Financial Impact</w:t>
      </w:r>
    </w:p>
    <w:p w14:paraId="1ACBC200" w14:textId="7BAC93AB" w:rsidR="007D78AA" w:rsidRDefault="00733F36" w:rsidP="00832C35">
      <w:pPr>
        <w:spacing w:after="0"/>
        <w:ind w:left="720" w:hanging="360"/>
        <w:jc w:val="both"/>
      </w:pPr>
      <w:r>
        <w:t>5</w:t>
      </w:r>
      <w:r w:rsidR="00793C49">
        <w:t>1</w:t>
      </w:r>
      <w:r w:rsidR="00832C35">
        <w:t>.</w:t>
      </w:r>
      <w:r w:rsidR="007D78AA">
        <w:tab/>
        <w:t xml:space="preserve">This report sets out the rationale for a 3 year community grants programme to be carried out from April 2018 to March 2021.  </w:t>
      </w:r>
    </w:p>
    <w:p w14:paraId="15DE2D1B" w14:textId="77777777" w:rsidR="007D78AA" w:rsidRDefault="007D78AA" w:rsidP="007D78AA">
      <w:pPr>
        <w:spacing w:after="0"/>
        <w:jc w:val="both"/>
      </w:pPr>
    </w:p>
    <w:p w14:paraId="077513A4" w14:textId="64270A0D" w:rsidR="007D78AA" w:rsidRPr="00832C35" w:rsidRDefault="00733F36" w:rsidP="00832C35">
      <w:pPr>
        <w:spacing w:after="0"/>
        <w:ind w:left="720" w:hanging="360"/>
        <w:jc w:val="both"/>
      </w:pPr>
      <w:r>
        <w:t>5</w:t>
      </w:r>
      <w:r w:rsidR="00793C49">
        <w:t>2</w:t>
      </w:r>
      <w:r w:rsidR="007D78AA">
        <w:t>.</w:t>
      </w:r>
      <w:r w:rsidR="007D78AA">
        <w:tab/>
        <w:t>The community grants programme is funded from Oxford City Council</w:t>
      </w:r>
      <w:r w:rsidR="00832C35">
        <w:t>’</w:t>
      </w:r>
      <w:r w:rsidR="007D78AA">
        <w:t xml:space="preserve">s core budget.  </w:t>
      </w:r>
    </w:p>
    <w:p w14:paraId="317F4236" w14:textId="77777777" w:rsidR="007D78AA" w:rsidRDefault="007D78AA" w:rsidP="007D78AA">
      <w:pPr>
        <w:spacing w:after="0"/>
        <w:jc w:val="both"/>
      </w:pPr>
    </w:p>
    <w:p w14:paraId="7A1BDDF7" w14:textId="77777777" w:rsidR="00832C35" w:rsidRPr="00744F72" w:rsidRDefault="00832C35" w:rsidP="007D78AA">
      <w:pPr>
        <w:spacing w:after="0"/>
        <w:jc w:val="both"/>
      </w:pPr>
    </w:p>
    <w:p w14:paraId="1A1F5075" w14:textId="77777777" w:rsidR="007D78AA" w:rsidRDefault="007D78AA" w:rsidP="007D78AA">
      <w:pPr>
        <w:jc w:val="both"/>
        <w:rPr>
          <w:b/>
        </w:rPr>
      </w:pPr>
      <w:r w:rsidRPr="005C06BF">
        <w:rPr>
          <w:b/>
        </w:rPr>
        <w:t>Legal Imp</w:t>
      </w:r>
      <w:r>
        <w:rPr>
          <w:b/>
        </w:rPr>
        <w:t>lications</w:t>
      </w:r>
    </w:p>
    <w:p w14:paraId="3E5E5891" w14:textId="11768693" w:rsidR="007D78AA" w:rsidRDefault="009848E1" w:rsidP="007D78AA">
      <w:pPr>
        <w:pStyle w:val="Bulletpoints"/>
        <w:numPr>
          <w:ilvl w:val="0"/>
          <w:numId w:val="0"/>
        </w:numPr>
        <w:spacing w:after="0"/>
        <w:ind w:left="720" w:hanging="360"/>
        <w:jc w:val="both"/>
      </w:pPr>
      <w:r>
        <w:t>5</w:t>
      </w:r>
      <w:r w:rsidR="00793C49">
        <w:t>3</w:t>
      </w:r>
      <w:r w:rsidR="007D78AA">
        <w:t>.</w:t>
      </w:r>
      <w:r w:rsidR="007D78AA">
        <w:tab/>
        <w:t>Oxford City Council considers it reasonable and appropriate in exercising its powers pursuant to the provision of s.2 Local Government Act 2000, the Localism Act 2011 and all relevant enabling legislation to offer grant assistance to community and voluntary organisation’s through its community grants programme (commissioning and open bidding)</w:t>
      </w:r>
    </w:p>
    <w:p w14:paraId="44789821" w14:textId="77777777" w:rsidR="007D78AA" w:rsidRDefault="007D78AA" w:rsidP="007D78AA">
      <w:pPr>
        <w:pStyle w:val="Bulletpoints"/>
        <w:numPr>
          <w:ilvl w:val="0"/>
          <w:numId w:val="0"/>
        </w:numPr>
        <w:spacing w:after="0"/>
        <w:jc w:val="both"/>
      </w:pPr>
    </w:p>
    <w:p w14:paraId="47567191" w14:textId="0E7A4082" w:rsidR="007D78AA" w:rsidRDefault="009848E1" w:rsidP="00E67CD8">
      <w:pPr>
        <w:ind w:left="360"/>
        <w:jc w:val="both"/>
      </w:pPr>
      <w:r>
        <w:t>5</w:t>
      </w:r>
      <w:r w:rsidR="00793C49">
        <w:t>4</w:t>
      </w:r>
      <w:r w:rsidR="007D78AA">
        <w:t>.</w:t>
      </w:r>
      <w:r w:rsidR="007D78AA">
        <w:tab/>
        <w:t>There are no legal implications</w:t>
      </w:r>
      <w:bookmarkStart w:id="0" w:name="_GoBack"/>
      <w:bookmarkEnd w:id="0"/>
    </w:p>
    <w:p w14:paraId="5A4FA99B" w14:textId="77777777" w:rsidR="007D78AA" w:rsidRDefault="007D78AA" w:rsidP="007D78AA">
      <w:pPr>
        <w:spacing w:after="0"/>
        <w:jc w:val="both"/>
      </w:pPr>
    </w:p>
    <w:p w14:paraId="3D2A88A9" w14:textId="77777777" w:rsidR="007D78AA" w:rsidRDefault="007D78AA" w:rsidP="007D78AA">
      <w:pPr>
        <w:spacing w:after="0"/>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7D78AA" w:rsidRPr="001356F1" w14:paraId="03AE2352" w14:textId="77777777" w:rsidTr="006042E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3C97DB5" w14:textId="77777777" w:rsidR="007D78AA" w:rsidRPr="001356F1" w:rsidRDefault="007D78AA" w:rsidP="006042E0">
            <w:pPr>
              <w:jc w:val="both"/>
              <w:rPr>
                <w:b/>
              </w:rPr>
            </w:pPr>
            <w:r>
              <w:rPr>
                <w:b/>
              </w:rPr>
              <w:t>R</w:t>
            </w:r>
            <w:r w:rsidRPr="001356F1">
              <w:rPr>
                <w:b/>
              </w:rPr>
              <w:t>eport author</w:t>
            </w:r>
          </w:p>
        </w:tc>
        <w:tc>
          <w:tcPr>
            <w:tcW w:w="4962" w:type="dxa"/>
            <w:tcBorders>
              <w:top w:val="single" w:sz="8" w:space="0" w:color="000000"/>
              <w:left w:val="nil"/>
              <w:bottom w:val="single" w:sz="8" w:space="0" w:color="000000"/>
              <w:right w:val="single" w:sz="8" w:space="0" w:color="000000"/>
            </w:tcBorders>
            <w:shd w:val="clear" w:color="auto" w:fill="auto"/>
          </w:tcPr>
          <w:p w14:paraId="03E85915" w14:textId="77777777" w:rsidR="007D78AA" w:rsidRPr="001356F1" w:rsidRDefault="007D78AA" w:rsidP="006042E0">
            <w:pPr>
              <w:jc w:val="both"/>
            </w:pPr>
            <w:r>
              <w:t>Julia Tomkins</w:t>
            </w:r>
          </w:p>
        </w:tc>
      </w:tr>
      <w:tr w:rsidR="007D78AA" w:rsidRPr="001356F1" w14:paraId="65ED1CED" w14:textId="77777777" w:rsidTr="006042E0">
        <w:trPr>
          <w:cantSplit/>
          <w:trHeight w:val="396"/>
        </w:trPr>
        <w:tc>
          <w:tcPr>
            <w:tcW w:w="3969" w:type="dxa"/>
            <w:tcBorders>
              <w:top w:val="single" w:sz="8" w:space="0" w:color="000000"/>
              <w:left w:val="single" w:sz="8" w:space="0" w:color="000000"/>
              <w:bottom w:val="nil"/>
              <w:right w:val="nil"/>
            </w:tcBorders>
            <w:shd w:val="clear" w:color="auto" w:fill="auto"/>
          </w:tcPr>
          <w:p w14:paraId="4A8DA61A" w14:textId="77777777" w:rsidR="007D78AA" w:rsidRPr="001356F1" w:rsidRDefault="007D78AA" w:rsidP="006042E0">
            <w:pPr>
              <w:jc w:val="both"/>
            </w:pPr>
            <w:r w:rsidRPr="001356F1">
              <w:t>Job title</w:t>
            </w:r>
          </w:p>
        </w:tc>
        <w:tc>
          <w:tcPr>
            <w:tcW w:w="4962" w:type="dxa"/>
            <w:tcBorders>
              <w:top w:val="single" w:sz="8" w:space="0" w:color="000000"/>
              <w:left w:val="nil"/>
              <w:bottom w:val="nil"/>
              <w:right w:val="single" w:sz="8" w:space="0" w:color="000000"/>
            </w:tcBorders>
            <w:shd w:val="clear" w:color="auto" w:fill="auto"/>
          </w:tcPr>
          <w:p w14:paraId="372A1ED2" w14:textId="77777777" w:rsidR="007D78AA" w:rsidRPr="001356F1" w:rsidRDefault="007D78AA" w:rsidP="006042E0">
            <w:pPr>
              <w:jc w:val="both"/>
            </w:pPr>
            <w:r>
              <w:t>Grant &amp; External Funding Officer</w:t>
            </w:r>
          </w:p>
        </w:tc>
      </w:tr>
      <w:tr w:rsidR="007D78AA" w:rsidRPr="001356F1" w14:paraId="49A662A4" w14:textId="77777777" w:rsidTr="006042E0">
        <w:trPr>
          <w:cantSplit/>
          <w:trHeight w:val="396"/>
        </w:trPr>
        <w:tc>
          <w:tcPr>
            <w:tcW w:w="3969" w:type="dxa"/>
            <w:tcBorders>
              <w:top w:val="nil"/>
              <w:left w:val="single" w:sz="8" w:space="0" w:color="000000"/>
              <w:bottom w:val="nil"/>
              <w:right w:val="nil"/>
            </w:tcBorders>
            <w:shd w:val="clear" w:color="auto" w:fill="auto"/>
          </w:tcPr>
          <w:p w14:paraId="547BAA9B" w14:textId="77777777" w:rsidR="007D78AA" w:rsidRPr="001356F1" w:rsidRDefault="007D78AA" w:rsidP="006042E0">
            <w:pPr>
              <w:jc w:val="both"/>
            </w:pPr>
            <w:r w:rsidRPr="001356F1">
              <w:t>Service area or department</w:t>
            </w:r>
          </w:p>
        </w:tc>
        <w:tc>
          <w:tcPr>
            <w:tcW w:w="4962" w:type="dxa"/>
            <w:tcBorders>
              <w:top w:val="nil"/>
              <w:left w:val="nil"/>
              <w:bottom w:val="nil"/>
              <w:right w:val="single" w:sz="8" w:space="0" w:color="000000"/>
            </w:tcBorders>
            <w:shd w:val="clear" w:color="auto" w:fill="auto"/>
          </w:tcPr>
          <w:p w14:paraId="274CD57A" w14:textId="77777777" w:rsidR="007D78AA" w:rsidRPr="001356F1" w:rsidRDefault="007D78AA" w:rsidP="006042E0">
            <w:pPr>
              <w:jc w:val="both"/>
            </w:pPr>
            <w:r>
              <w:t>Community Services</w:t>
            </w:r>
          </w:p>
        </w:tc>
      </w:tr>
      <w:tr w:rsidR="007D78AA" w:rsidRPr="001356F1" w14:paraId="4C50DB66" w14:textId="77777777" w:rsidTr="006042E0">
        <w:trPr>
          <w:cantSplit/>
          <w:trHeight w:val="396"/>
        </w:trPr>
        <w:tc>
          <w:tcPr>
            <w:tcW w:w="3969" w:type="dxa"/>
            <w:tcBorders>
              <w:top w:val="nil"/>
              <w:left w:val="single" w:sz="8" w:space="0" w:color="000000"/>
              <w:bottom w:val="nil"/>
              <w:right w:val="nil"/>
            </w:tcBorders>
            <w:shd w:val="clear" w:color="auto" w:fill="auto"/>
          </w:tcPr>
          <w:p w14:paraId="0F2305B2" w14:textId="77777777" w:rsidR="007D78AA" w:rsidRPr="001356F1" w:rsidRDefault="007D78AA" w:rsidP="006042E0">
            <w:pPr>
              <w:jc w:val="both"/>
            </w:pPr>
            <w:r w:rsidRPr="001356F1">
              <w:t xml:space="preserve">Telephone </w:t>
            </w:r>
          </w:p>
        </w:tc>
        <w:tc>
          <w:tcPr>
            <w:tcW w:w="4962" w:type="dxa"/>
            <w:tcBorders>
              <w:top w:val="nil"/>
              <w:left w:val="nil"/>
              <w:bottom w:val="nil"/>
              <w:right w:val="single" w:sz="8" w:space="0" w:color="000000"/>
            </w:tcBorders>
            <w:shd w:val="clear" w:color="auto" w:fill="auto"/>
          </w:tcPr>
          <w:p w14:paraId="4D9E4884" w14:textId="77777777" w:rsidR="007D78AA" w:rsidRPr="001356F1" w:rsidRDefault="007D78AA" w:rsidP="006042E0">
            <w:pPr>
              <w:jc w:val="both"/>
            </w:pPr>
            <w:r>
              <w:t>01865 252685</w:t>
            </w:r>
            <w:r w:rsidRPr="001356F1">
              <w:t xml:space="preserve">  </w:t>
            </w:r>
          </w:p>
        </w:tc>
      </w:tr>
      <w:tr w:rsidR="007D78AA" w:rsidRPr="001356F1" w14:paraId="4EC66437" w14:textId="77777777" w:rsidTr="006042E0">
        <w:trPr>
          <w:cantSplit/>
          <w:trHeight w:val="396"/>
        </w:trPr>
        <w:tc>
          <w:tcPr>
            <w:tcW w:w="3969" w:type="dxa"/>
            <w:tcBorders>
              <w:top w:val="nil"/>
              <w:left w:val="single" w:sz="8" w:space="0" w:color="000000"/>
              <w:bottom w:val="single" w:sz="8" w:space="0" w:color="000000"/>
              <w:right w:val="nil"/>
            </w:tcBorders>
            <w:shd w:val="clear" w:color="auto" w:fill="auto"/>
          </w:tcPr>
          <w:p w14:paraId="54FDC407" w14:textId="77777777" w:rsidR="007D78AA" w:rsidRPr="001356F1" w:rsidRDefault="007D78AA" w:rsidP="006042E0">
            <w:pPr>
              <w:jc w:val="both"/>
            </w:pPr>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6561091" w14:textId="77777777" w:rsidR="007D78AA" w:rsidRPr="001356F1" w:rsidRDefault="00E67CD8" w:rsidP="006042E0">
            <w:pPr>
              <w:jc w:val="both"/>
              <w:rPr>
                <w:rStyle w:val="Hyperlink"/>
                <w:color w:val="000000"/>
              </w:rPr>
            </w:pPr>
            <w:hyperlink r:id="rId10" w:history="1">
              <w:r w:rsidR="007D78AA" w:rsidRPr="009B1590">
                <w:rPr>
                  <w:rStyle w:val="Hyperlink"/>
                </w:rPr>
                <w:t>jtomkins@oxford.gov.uk</w:t>
              </w:r>
            </w:hyperlink>
            <w:r w:rsidR="007D78AA">
              <w:rPr>
                <w:rStyle w:val="Hyperlink"/>
                <w:color w:val="000000"/>
              </w:rPr>
              <w:t xml:space="preserve"> </w:t>
            </w:r>
          </w:p>
        </w:tc>
      </w:tr>
    </w:tbl>
    <w:p w14:paraId="2BFF6E25" w14:textId="77777777" w:rsidR="007D78AA" w:rsidRPr="001356F1" w:rsidRDefault="007D78AA" w:rsidP="007D78A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D78AA" w:rsidRPr="001356F1" w14:paraId="5A2F115E" w14:textId="77777777" w:rsidTr="006042E0">
        <w:tc>
          <w:tcPr>
            <w:tcW w:w="8931" w:type="dxa"/>
            <w:tcBorders>
              <w:top w:val="single" w:sz="4" w:space="0" w:color="auto"/>
              <w:left w:val="single" w:sz="4" w:space="0" w:color="auto"/>
              <w:bottom w:val="single" w:sz="8" w:space="0" w:color="000000"/>
              <w:right w:val="single" w:sz="4" w:space="0" w:color="auto"/>
            </w:tcBorders>
            <w:shd w:val="clear" w:color="auto" w:fill="auto"/>
          </w:tcPr>
          <w:p w14:paraId="013144F5" w14:textId="42A0F41C" w:rsidR="007D78AA" w:rsidRPr="001356F1" w:rsidRDefault="007D78AA" w:rsidP="00700F0B">
            <w:pPr>
              <w:jc w:val="both"/>
            </w:pPr>
            <w:r w:rsidRPr="001356F1">
              <w:rPr>
                <w:rStyle w:val="Firstpagetablebold"/>
              </w:rPr>
              <w:t xml:space="preserve">Background Papers: </w:t>
            </w:r>
            <w:r w:rsidR="00507E40" w:rsidRPr="00507E40">
              <w:rPr>
                <w:rStyle w:val="Firstpagetablebold"/>
                <w:b w:val="0"/>
              </w:rPr>
              <w:t>Advice Services Review June 2017</w:t>
            </w:r>
          </w:p>
        </w:tc>
      </w:tr>
    </w:tbl>
    <w:p w14:paraId="5ABA1CFD" w14:textId="77777777" w:rsidR="007D78AA" w:rsidRDefault="007D78AA" w:rsidP="007D78AA">
      <w:pPr>
        <w:jc w:val="both"/>
      </w:pPr>
    </w:p>
    <w:p w14:paraId="0EC5E72D" w14:textId="77777777" w:rsidR="00E14746" w:rsidRDefault="00E14746" w:rsidP="00832C35">
      <w:pPr>
        <w:spacing w:after="0"/>
        <w:jc w:val="both"/>
      </w:pPr>
    </w:p>
    <w:sectPr w:rsidR="00E14746"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F0DB7" w14:textId="77777777" w:rsidR="00C6658E" w:rsidRDefault="00C6658E" w:rsidP="004A6D2F">
      <w:r>
        <w:separator/>
      </w:r>
    </w:p>
  </w:endnote>
  <w:endnote w:type="continuationSeparator" w:id="0">
    <w:p w14:paraId="66FE0626" w14:textId="77777777" w:rsidR="00C6658E" w:rsidRDefault="00C6658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3108" w14:textId="77777777" w:rsidR="00364FAD" w:rsidRDefault="00364FAD" w:rsidP="004A6D2F">
    <w:pPr>
      <w:pStyle w:val="Footer"/>
    </w:pPr>
    <w:r>
      <w:t>Do not use a footer or page numbers.</w:t>
    </w:r>
  </w:p>
  <w:p w14:paraId="63E1CC8E" w14:textId="77777777" w:rsidR="00364FAD" w:rsidRDefault="00364FAD" w:rsidP="004A6D2F">
    <w:pPr>
      <w:pStyle w:val="Footer"/>
    </w:pPr>
  </w:p>
  <w:p w14:paraId="68715CD1"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CF4B"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329BD" w14:textId="77777777" w:rsidR="00C6658E" w:rsidRDefault="00C6658E" w:rsidP="004A6D2F">
      <w:r>
        <w:separator/>
      </w:r>
    </w:p>
  </w:footnote>
  <w:footnote w:type="continuationSeparator" w:id="0">
    <w:p w14:paraId="7C192F2E" w14:textId="77777777" w:rsidR="00C6658E" w:rsidRDefault="00C6658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990A4" w14:textId="77777777" w:rsidR="00D5547E" w:rsidRDefault="004609AF" w:rsidP="00D5547E">
    <w:pPr>
      <w:pStyle w:val="Header"/>
      <w:jc w:val="right"/>
    </w:pPr>
    <w:r>
      <w:rPr>
        <w:noProof/>
      </w:rPr>
      <w:drawing>
        <wp:inline distT="0" distB="0" distL="0" distR="0" wp14:anchorId="3FE3B4E9" wp14:editId="1DA01BA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F63"/>
    <w:multiLevelType w:val="hybridMultilevel"/>
    <w:tmpl w:val="295AA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A82D79"/>
    <w:multiLevelType w:val="hybridMultilevel"/>
    <w:tmpl w:val="22580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B21680"/>
    <w:multiLevelType w:val="hybridMultilevel"/>
    <w:tmpl w:val="B10A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B57F0C"/>
    <w:multiLevelType w:val="hybridMultilevel"/>
    <w:tmpl w:val="95D8E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E473E9"/>
    <w:multiLevelType w:val="hybridMultilevel"/>
    <w:tmpl w:val="CE682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FD25F6"/>
    <w:multiLevelType w:val="hybridMultilevel"/>
    <w:tmpl w:val="BF70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7201D67"/>
    <w:multiLevelType w:val="hybridMultilevel"/>
    <w:tmpl w:val="821E1EDA"/>
    <w:lvl w:ilvl="0" w:tplc="08090001">
      <w:start w:val="1"/>
      <w:numFmt w:val="bullet"/>
      <w:lvlText w:val=""/>
      <w:lvlJc w:val="left"/>
      <w:pPr>
        <w:tabs>
          <w:tab w:val="num" w:pos="1179"/>
        </w:tabs>
        <w:ind w:left="1179" w:hanging="360"/>
      </w:pPr>
      <w:rPr>
        <w:rFonts w:ascii="Symbol" w:hAnsi="Symbol" w:hint="default"/>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10">
    <w:nsid w:val="38560D21"/>
    <w:multiLevelType w:val="hybridMultilevel"/>
    <w:tmpl w:val="B53C3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0A7C34"/>
    <w:multiLevelType w:val="hybridMultilevel"/>
    <w:tmpl w:val="B516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D2755B"/>
    <w:multiLevelType w:val="hybridMultilevel"/>
    <w:tmpl w:val="D952CD34"/>
    <w:lvl w:ilvl="0" w:tplc="0809000F">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3">
    <w:nsid w:val="459A6503"/>
    <w:multiLevelType w:val="hybridMultilevel"/>
    <w:tmpl w:val="73F88364"/>
    <w:lvl w:ilvl="0" w:tplc="F7CE1B8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101E3E"/>
    <w:multiLevelType w:val="hybridMultilevel"/>
    <w:tmpl w:val="23C8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AB4D34"/>
    <w:multiLevelType w:val="hybridMultilevel"/>
    <w:tmpl w:val="F4E6B4BA"/>
    <w:lvl w:ilvl="0" w:tplc="3CF04170">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AE3660"/>
    <w:multiLevelType w:val="hybridMultilevel"/>
    <w:tmpl w:val="7F204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982A49"/>
    <w:multiLevelType w:val="hybridMultilevel"/>
    <w:tmpl w:val="DE90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7F5650"/>
    <w:multiLevelType w:val="hybridMultilevel"/>
    <w:tmpl w:val="29DA1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6B1C5B"/>
    <w:multiLevelType w:val="hybridMultilevel"/>
    <w:tmpl w:val="DB609D42"/>
    <w:lvl w:ilvl="0" w:tplc="DCC64F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A47B1A"/>
    <w:multiLevelType w:val="hybridMultilevel"/>
    <w:tmpl w:val="92904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1E5267C"/>
    <w:multiLevelType w:val="hybridMultilevel"/>
    <w:tmpl w:val="5E28987E"/>
    <w:lvl w:ilvl="0" w:tplc="DCC64F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E3F135B"/>
    <w:multiLevelType w:val="hybridMultilevel"/>
    <w:tmpl w:val="B470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8"/>
  </w:num>
  <w:num w:numId="4">
    <w:abstractNumId w:val="2"/>
  </w:num>
  <w:num w:numId="5">
    <w:abstractNumId w:val="21"/>
  </w:num>
  <w:num w:numId="6">
    <w:abstractNumId w:val="9"/>
  </w:num>
  <w:num w:numId="7">
    <w:abstractNumId w:val="11"/>
  </w:num>
  <w:num w:numId="8">
    <w:abstractNumId w:val="17"/>
  </w:num>
  <w:num w:numId="9">
    <w:abstractNumId w:val="24"/>
  </w:num>
  <w:num w:numId="10">
    <w:abstractNumId w:val="7"/>
  </w:num>
  <w:num w:numId="11">
    <w:abstractNumId w:val="0"/>
  </w:num>
  <w:num w:numId="12">
    <w:abstractNumId w:val="16"/>
  </w:num>
  <w:num w:numId="13">
    <w:abstractNumId w:val="18"/>
  </w:num>
  <w:num w:numId="14">
    <w:abstractNumId w:val="5"/>
  </w:num>
  <w:num w:numId="15">
    <w:abstractNumId w:val="4"/>
  </w:num>
  <w:num w:numId="16">
    <w:abstractNumId w:val="13"/>
  </w:num>
  <w:num w:numId="17">
    <w:abstractNumId w:val="3"/>
  </w:num>
  <w:num w:numId="18">
    <w:abstractNumId w:val="19"/>
  </w:num>
  <w:num w:numId="19">
    <w:abstractNumId w:val="14"/>
  </w:num>
  <w:num w:numId="20">
    <w:abstractNumId w:val="22"/>
  </w:num>
  <w:num w:numId="21">
    <w:abstractNumId w:val="10"/>
  </w:num>
  <w:num w:numId="22">
    <w:abstractNumId w:val="6"/>
  </w:num>
  <w:num w:numId="23">
    <w:abstractNumId w:val="12"/>
  </w:num>
  <w:num w:numId="24">
    <w:abstractNumId w:val="20"/>
  </w:num>
  <w:num w:numId="25">
    <w:abstractNumId w:val="15"/>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AF"/>
    <w:rsid w:val="000117D4"/>
    <w:rsid w:val="000122B6"/>
    <w:rsid w:val="0002575B"/>
    <w:rsid w:val="00025A37"/>
    <w:rsid w:val="00027C95"/>
    <w:rsid w:val="000314D7"/>
    <w:rsid w:val="00032ACF"/>
    <w:rsid w:val="00033138"/>
    <w:rsid w:val="00033674"/>
    <w:rsid w:val="00045F8B"/>
    <w:rsid w:val="00046D2B"/>
    <w:rsid w:val="00051123"/>
    <w:rsid w:val="00053BD4"/>
    <w:rsid w:val="00056263"/>
    <w:rsid w:val="00060F03"/>
    <w:rsid w:val="00064D8A"/>
    <w:rsid w:val="00064F82"/>
    <w:rsid w:val="00066510"/>
    <w:rsid w:val="000667E0"/>
    <w:rsid w:val="0007422E"/>
    <w:rsid w:val="00077523"/>
    <w:rsid w:val="00085A55"/>
    <w:rsid w:val="00090131"/>
    <w:rsid w:val="000A176F"/>
    <w:rsid w:val="000A203A"/>
    <w:rsid w:val="000A4719"/>
    <w:rsid w:val="000A5B1A"/>
    <w:rsid w:val="000A6452"/>
    <w:rsid w:val="000C089F"/>
    <w:rsid w:val="000C3928"/>
    <w:rsid w:val="000C5E8E"/>
    <w:rsid w:val="000D0245"/>
    <w:rsid w:val="000D398A"/>
    <w:rsid w:val="000E4A6D"/>
    <w:rsid w:val="000E4DF3"/>
    <w:rsid w:val="000F4751"/>
    <w:rsid w:val="0010524C"/>
    <w:rsid w:val="001057DA"/>
    <w:rsid w:val="00111FB1"/>
    <w:rsid w:val="00113418"/>
    <w:rsid w:val="0011580B"/>
    <w:rsid w:val="00117DD6"/>
    <w:rsid w:val="001356F1"/>
    <w:rsid w:val="00136994"/>
    <w:rsid w:val="0014128E"/>
    <w:rsid w:val="00151888"/>
    <w:rsid w:val="00170A2D"/>
    <w:rsid w:val="00180761"/>
    <w:rsid w:val="001808BC"/>
    <w:rsid w:val="00182B81"/>
    <w:rsid w:val="00184443"/>
    <w:rsid w:val="0018619D"/>
    <w:rsid w:val="00192160"/>
    <w:rsid w:val="00193022"/>
    <w:rsid w:val="001964D4"/>
    <w:rsid w:val="00197B56"/>
    <w:rsid w:val="001A011E"/>
    <w:rsid w:val="001A066A"/>
    <w:rsid w:val="001A13E6"/>
    <w:rsid w:val="001A5731"/>
    <w:rsid w:val="001B00E0"/>
    <w:rsid w:val="001B42C3"/>
    <w:rsid w:val="001C15C4"/>
    <w:rsid w:val="001C5D5E"/>
    <w:rsid w:val="001D678D"/>
    <w:rsid w:val="001E03F8"/>
    <w:rsid w:val="001E1678"/>
    <w:rsid w:val="001E3376"/>
    <w:rsid w:val="001E4727"/>
    <w:rsid w:val="001E5C15"/>
    <w:rsid w:val="001F0252"/>
    <w:rsid w:val="001F3D62"/>
    <w:rsid w:val="002069B3"/>
    <w:rsid w:val="002113BA"/>
    <w:rsid w:val="00230E63"/>
    <w:rsid w:val="002329CF"/>
    <w:rsid w:val="00232F5B"/>
    <w:rsid w:val="0023666B"/>
    <w:rsid w:val="00244FAD"/>
    <w:rsid w:val="00246B9D"/>
    <w:rsid w:val="00247C29"/>
    <w:rsid w:val="00256F76"/>
    <w:rsid w:val="00260467"/>
    <w:rsid w:val="0026207C"/>
    <w:rsid w:val="00263EA3"/>
    <w:rsid w:val="00264520"/>
    <w:rsid w:val="00270E44"/>
    <w:rsid w:val="002716A1"/>
    <w:rsid w:val="0027221B"/>
    <w:rsid w:val="00276600"/>
    <w:rsid w:val="00284995"/>
    <w:rsid w:val="00284F85"/>
    <w:rsid w:val="00287C34"/>
    <w:rsid w:val="00290915"/>
    <w:rsid w:val="002A22E2"/>
    <w:rsid w:val="002A4804"/>
    <w:rsid w:val="002B0692"/>
    <w:rsid w:val="002C517E"/>
    <w:rsid w:val="002C64F7"/>
    <w:rsid w:val="002E40DD"/>
    <w:rsid w:val="002E775F"/>
    <w:rsid w:val="002F3B63"/>
    <w:rsid w:val="002F3D9F"/>
    <w:rsid w:val="002F41F2"/>
    <w:rsid w:val="002F6CEF"/>
    <w:rsid w:val="002F73B5"/>
    <w:rsid w:val="00301BF3"/>
    <w:rsid w:val="0030208D"/>
    <w:rsid w:val="00302A5D"/>
    <w:rsid w:val="0030552E"/>
    <w:rsid w:val="00306530"/>
    <w:rsid w:val="003178DF"/>
    <w:rsid w:val="00323418"/>
    <w:rsid w:val="003310CA"/>
    <w:rsid w:val="003357BF"/>
    <w:rsid w:val="00340ABA"/>
    <w:rsid w:val="003417D5"/>
    <w:rsid w:val="0034194D"/>
    <w:rsid w:val="003443DD"/>
    <w:rsid w:val="00364FAD"/>
    <w:rsid w:val="0036738F"/>
    <w:rsid w:val="0036759C"/>
    <w:rsid w:val="00367AE5"/>
    <w:rsid w:val="00367D71"/>
    <w:rsid w:val="00380C06"/>
    <w:rsid w:val="0038150A"/>
    <w:rsid w:val="00382769"/>
    <w:rsid w:val="003908A0"/>
    <w:rsid w:val="003B6E75"/>
    <w:rsid w:val="003B7481"/>
    <w:rsid w:val="003B7DA1"/>
    <w:rsid w:val="003C2F11"/>
    <w:rsid w:val="003C46E2"/>
    <w:rsid w:val="003C70BD"/>
    <w:rsid w:val="003D0379"/>
    <w:rsid w:val="003D2574"/>
    <w:rsid w:val="003D4C59"/>
    <w:rsid w:val="003E2801"/>
    <w:rsid w:val="003E3822"/>
    <w:rsid w:val="003F008B"/>
    <w:rsid w:val="003F1015"/>
    <w:rsid w:val="003F4267"/>
    <w:rsid w:val="00402E3E"/>
    <w:rsid w:val="00404032"/>
    <w:rsid w:val="00404506"/>
    <w:rsid w:val="0040736F"/>
    <w:rsid w:val="00412C1F"/>
    <w:rsid w:val="00421CB2"/>
    <w:rsid w:val="00425283"/>
    <w:rsid w:val="004263B3"/>
    <w:rsid w:val="004268B9"/>
    <w:rsid w:val="004311FE"/>
    <w:rsid w:val="00433B96"/>
    <w:rsid w:val="004440F1"/>
    <w:rsid w:val="004456DD"/>
    <w:rsid w:val="00446CDF"/>
    <w:rsid w:val="004474C9"/>
    <w:rsid w:val="004521B7"/>
    <w:rsid w:val="0045266F"/>
    <w:rsid w:val="004609AF"/>
    <w:rsid w:val="00462AB5"/>
    <w:rsid w:val="004635B6"/>
    <w:rsid w:val="00465EAF"/>
    <w:rsid w:val="004723A5"/>
    <w:rsid w:val="004738C5"/>
    <w:rsid w:val="0048491B"/>
    <w:rsid w:val="004861A9"/>
    <w:rsid w:val="00491046"/>
    <w:rsid w:val="004A2AC7"/>
    <w:rsid w:val="004A6D2F"/>
    <w:rsid w:val="004A7E35"/>
    <w:rsid w:val="004B2AC8"/>
    <w:rsid w:val="004C2887"/>
    <w:rsid w:val="004C7B53"/>
    <w:rsid w:val="004D0C21"/>
    <w:rsid w:val="004D2626"/>
    <w:rsid w:val="004D6E26"/>
    <w:rsid w:val="004D709A"/>
    <w:rsid w:val="004D77D3"/>
    <w:rsid w:val="004E2959"/>
    <w:rsid w:val="004E315A"/>
    <w:rsid w:val="004F20EF"/>
    <w:rsid w:val="004F49CA"/>
    <w:rsid w:val="0050321C"/>
    <w:rsid w:val="00507E40"/>
    <w:rsid w:val="00511865"/>
    <w:rsid w:val="00523504"/>
    <w:rsid w:val="005430FD"/>
    <w:rsid w:val="0054712D"/>
    <w:rsid w:val="005472B0"/>
    <w:rsid w:val="00547EF6"/>
    <w:rsid w:val="005570B5"/>
    <w:rsid w:val="00567E18"/>
    <w:rsid w:val="0057038E"/>
    <w:rsid w:val="00575F5F"/>
    <w:rsid w:val="0057664F"/>
    <w:rsid w:val="00580B3D"/>
    <w:rsid w:val="00581805"/>
    <w:rsid w:val="00585F76"/>
    <w:rsid w:val="005A34E4"/>
    <w:rsid w:val="005A748C"/>
    <w:rsid w:val="005B17F2"/>
    <w:rsid w:val="005B2B5C"/>
    <w:rsid w:val="005B7FB0"/>
    <w:rsid w:val="005C0FF4"/>
    <w:rsid w:val="005C1D79"/>
    <w:rsid w:val="005C35A5"/>
    <w:rsid w:val="005C577C"/>
    <w:rsid w:val="005D0621"/>
    <w:rsid w:val="005D1E27"/>
    <w:rsid w:val="005D2A3E"/>
    <w:rsid w:val="005D425B"/>
    <w:rsid w:val="005D5423"/>
    <w:rsid w:val="005E022E"/>
    <w:rsid w:val="005E2F2F"/>
    <w:rsid w:val="005E5215"/>
    <w:rsid w:val="005E5D91"/>
    <w:rsid w:val="005F01A8"/>
    <w:rsid w:val="005F7F7E"/>
    <w:rsid w:val="006028F6"/>
    <w:rsid w:val="00602F75"/>
    <w:rsid w:val="006061ED"/>
    <w:rsid w:val="0060771B"/>
    <w:rsid w:val="00610B36"/>
    <w:rsid w:val="0061190A"/>
    <w:rsid w:val="00614693"/>
    <w:rsid w:val="00614F5F"/>
    <w:rsid w:val="00622B2E"/>
    <w:rsid w:val="00623C2F"/>
    <w:rsid w:val="00633578"/>
    <w:rsid w:val="006357A9"/>
    <w:rsid w:val="006364E3"/>
    <w:rsid w:val="00637068"/>
    <w:rsid w:val="0064118B"/>
    <w:rsid w:val="00650811"/>
    <w:rsid w:val="00661D3E"/>
    <w:rsid w:val="006705FE"/>
    <w:rsid w:val="0067232F"/>
    <w:rsid w:val="00681BC3"/>
    <w:rsid w:val="00692627"/>
    <w:rsid w:val="00692C64"/>
    <w:rsid w:val="00692CA2"/>
    <w:rsid w:val="0069372C"/>
    <w:rsid w:val="006969E7"/>
    <w:rsid w:val="006A3643"/>
    <w:rsid w:val="006B4D64"/>
    <w:rsid w:val="006B4F54"/>
    <w:rsid w:val="006B649F"/>
    <w:rsid w:val="006B79CD"/>
    <w:rsid w:val="006C2A29"/>
    <w:rsid w:val="006C3130"/>
    <w:rsid w:val="006C570C"/>
    <w:rsid w:val="006C64B9"/>
    <w:rsid w:val="006C64CF"/>
    <w:rsid w:val="006D17B1"/>
    <w:rsid w:val="006D17DE"/>
    <w:rsid w:val="006D4752"/>
    <w:rsid w:val="006D708A"/>
    <w:rsid w:val="006E14C1"/>
    <w:rsid w:val="006E30B5"/>
    <w:rsid w:val="006E63B1"/>
    <w:rsid w:val="006F0292"/>
    <w:rsid w:val="006F27FA"/>
    <w:rsid w:val="006F416B"/>
    <w:rsid w:val="006F4295"/>
    <w:rsid w:val="006F519B"/>
    <w:rsid w:val="00700F0B"/>
    <w:rsid w:val="00713675"/>
    <w:rsid w:val="00715823"/>
    <w:rsid w:val="007268E1"/>
    <w:rsid w:val="00733F36"/>
    <w:rsid w:val="00737B93"/>
    <w:rsid w:val="0074105F"/>
    <w:rsid w:val="00745BF0"/>
    <w:rsid w:val="007615FE"/>
    <w:rsid w:val="0076655C"/>
    <w:rsid w:val="007742DC"/>
    <w:rsid w:val="007747EE"/>
    <w:rsid w:val="00791437"/>
    <w:rsid w:val="00793C49"/>
    <w:rsid w:val="00793C70"/>
    <w:rsid w:val="007B0C2C"/>
    <w:rsid w:val="007B278E"/>
    <w:rsid w:val="007B3784"/>
    <w:rsid w:val="007B4609"/>
    <w:rsid w:val="007C4874"/>
    <w:rsid w:val="007C5C23"/>
    <w:rsid w:val="007C68CA"/>
    <w:rsid w:val="007C6F0A"/>
    <w:rsid w:val="007D0C8F"/>
    <w:rsid w:val="007D1297"/>
    <w:rsid w:val="007D1C15"/>
    <w:rsid w:val="007D5610"/>
    <w:rsid w:val="007D78AA"/>
    <w:rsid w:val="007E2A26"/>
    <w:rsid w:val="007F2348"/>
    <w:rsid w:val="008024AB"/>
    <w:rsid w:val="00803F07"/>
    <w:rsid w:val="0080749A"/>
    <w:rsid w:val="0081068B"/>
    <w:rsid w:val="0082148A"/>
    <w:rsid w:val="00821FB8"/>
    <w:rsid w:val="00822ACD"/>
    <w:rsid w:val="00823C44"/>
    <w:rsid w:val="00832C35"/>
    <w:rsid w:val="0084218A"/>
    <w:rsid w:val="0084311E"/>
    <w:rsid w:val="00846F35"/>
    <w:rsid w:val="00855C66"/>
    <w:rsid w:val="00862877"/>
    <w:rsid w:val="00871EE4"/>
    <w:rsid w:val="008808DF"/>
    <w:rsid w:val="008A302F"/>
    <w:rsid w:val="008A3267"/>
    <w:rsid w:val="008A3BA3"/>
    <w:rsid w:val="008A5776"/>
    <w:rsid w:val="008B293F"/>
    <w:rsid w:val="008B7371"/>
    <w:rsid w:val="008D3DDB"/>
    <w:rsid w:val="008D505C"/>
    <w:rsid w:val="008E0A53"/>
    <w:rsid w:val="008E3202"/>
    <w:rsid w:val="008E456B"/>
    <w:rsid w:val="008E4645"/>
    <w:rsid w:val="008F573F"/>
    <w:rsid w:val="008F68D8"/>
    <w:rsid w:val="009034EC"/>
    <w:rsid w:val="009142CE"/>
    <w:rsid w:val="0093067A"/>
    <w:rsid w:val="00941C60"/>
    <w:rsid w:val="009429D7"/>
    <w:rsid w:val="00942AC8"/>
    <w:rsid w:val="00944B15"/>
    <w:rsid w:val="00945A87"/>
    <w:rsid w:val="00946305"/>
    <w:rsid w:val="00947637"/>
    <w:rsid w:val="00952EC5"/>
    <w:rsid w:val="00955FD2"/>
    <w:rsid w:val="00966D42"/>
    <w:rsid w:val="00971689"/>
    <w:rsid w:val="00973E90"/>
    <w:rsid w:val="00974E64"/>
    <w:rsid w:val="00975B07"/>
    <w:rsid w:val="00977D82"/>
    <w:rsid w:val="00980B4A"/>
    <w:rsid w:val="009848E1"/>
    <w:rsid w:val="00984FF4"/>
    <w:rsid w:val="00993481"/>
    <w:rsid w:val="0099571A"/>
    <w:rsid w:val="009A298D"/>
    <w:rsid w:val="009A387B"/>
    <w:rsid w:val="009B73F0"/>
    <w:rsid w:val="009C5012"/>
    <w:rsid w:val="009C638C"/>
    <w:rsid w:val="009C6819"/>
    <w:rsid w:val="009C68D1"/>
    <w:rsid w:val="009D38EA"/>
    <w:rsid w:val="009E0FDB"/>
    <w:rsid w:val="009E3D0A"/>
    <w:rsid w:val="009E51FC"/>
    <w:rsid w:val="009F1D28"/>
    <w:rsid w:val="009F30F0"/>
    <w:rsid w:val="009F7618"/>
    <w:rsid w:val="00A04D23"/>
    <w:rsid w:val="00A06766"/>
    <w:rsid w:val="00A07FEC"/>
    <w:rsid w:val="00A13765"/>
    <w:rsid w:val="00A21B12"/>
    <w:rsid w:val="00A23F80"/>
    <w:rsid w:val="00A244D7"/>
    <w:rsid w:val="00A25AA7"/>
    <w:rsid w:val="00A4068C"/>
    <w:rsid w:val="00A46728"/>
    <w:rsid w:val="00A46E98"/>
    <w:rsid w:val="00A509FF"/>
    <w:rsid w:val="00A52FD2"/>
    <w:rsid w:val="00A61C0D"/>
    <w:rsid w:val="00A6352B"/>
    <w:rsid w:val="00A66697"/>
    <w:rsid w:val="00A701B5"/>
    <w:rsid w:val="00A714BB"/>
    <w:rsid w:val="00A72F35"/>
    <w:rsid w:val="00A76B2A"/>
    <w:rsid w:val="00A856E2"/>
    <w:rsid w:val="00A91905"/>
    <w:rsid w:val="00A92D8F"/>
    <w:rsid w:val="00A9544E"/>
    <w:rsid w:val="00AA7E8D"/>
    <w:rsid w:val="00AB2988"/>
    <w:rsid w:val="00AB7999"/>
    <w:rsid w:val="00AB7E6F"/>
    <w:rsid w:val="00AC39D3"/>
    <w:rsid w:val="00AD2D00"/>
    <w:rsid w:val="00AD3292"/>
    <w:rsid w:val="00AE506F"/>
    <w:rsid w:val="00AE7AF0"/>
    <w:rsid w:val="00AF227B"/>
    <w:rsid w:val="00B02F9B"/>
    <w:rsid w:val="00B05A04"/>
    <w:rsid w:val="00B07113"/>
    <w:rsid w:val="00B11075"/>
    <w:rsid w:val="00B11A4D"/>
    <w:rsid w:val="00B20B20"/>
    <w:rsid w:val="00B2303D"/>
    <w:rsid w:val="00B33DF5"/>
    <w:rsid w:val="00B369E6"/>
    <w:rsid w:val="00B423DE"/>
    <w:rsid w:val="00B500CA"/>
    <w:rsid w:val="00B57D06"/>
    <w:rsid w:val="00B72A02"/>
    <w:rsid w:val="00B770E6"/>
    <w:rsid w:val="00B86314"/>
    <w:rsid w:val="00BA1C2E"/>
    <w:rsid w:val="00BA29C0"/>
    <w:rsid w:val="00BA51EF"/>
    <w:rsid w:val="00BB31B6"/>
    <w:rsid w:val="00BC200B"/>
    <w:rsid w:val="00BC4756"/>
    <w:rsid w:val="00BC5E6D"/>
    <w:rsid w:val="00BC69A4"/>
    <w:rsid w:val="00BD007C"/>
    <w:rsid w:val="00BD72EF"/>
    <w:rsid w:val="00BE0680"/>
    <w:rsid w:val="00BE305F"/>
    <w:rsid w:val="00BE7BA3"/>
    <w:rsid w:val="00BF0F5B"/>
    <w:rsid w:val="00BF4ED5"/>
    <w:rsid w:val="00BF5682"/>
    <w:rsid w:val="00BF7B09"/>
    <w:rsid w:val="00C00A24"/>
    <w:rsid w:val="00C030CE"/>
    <w:rsid w:val="00C12B4A"/>
    <w:rsid w:val="00C13A8B"/>
    <w:rsid w:val="00C20A95"/>
    <w:rsid w:val="00C20C86"/>
    <w:rsid w:val="00C25E2A"/>
    <w:rsid w:val="00C2692F"/>
    <w:rsid w:val="00C3207C"/>
    <w:rsid w:val="00C33B76"/>
    <w:rsid w:val="00C400E1"/>
    <w:rsid w:val="00C41187"/>
    <w:rsid w:val="00C452FD"/>
    <w:rsid w:val="00C46F50"/>
    <w:rsid w:val="00C50C8E"/>
    <w:rsid w:val="00C63C31"/>
    <w:rsid w:val="00C65258"/>
    <w:rsid w:val="00C6658E"/>
    <w:rsid w:val="00C757A0"/>
    <w:rsid w:val="00C760DE"/>
    <w:rsid w:val="00C8237E"/>
    <w:rsid w:val="00C82630"/>
    <w:rsid w:val="00C85B4E"/>
    <w:rsid w:val="00C87EC2"/>
    <w:rsid w:val="00C907F7"/>
    <w:rsid w:val="00C90A22"/>
    <w:rsid w:val="00C96740"/>
    <w:rsid w:val="00CA2103"/>
    <w:rsid w:val="00CA62E6"/>
    <w:rsid w:val="00CB275D"/>
    <w:rsid w:val="00CB6B99"/>
    <w:rsid w:val="00CC0532"/>
    <w:rsid w:val="00CC157F"/>
    <w:rsid w:val="00CC79DC"/>
    <w:rsid w:val="00CE4C87"/>
    <w:rsid w:val="00CE544A"/>
    <w:rsid w:val="00CF5112"/>
    <w:rsid w:val="00D05C24"/>
    <w:rsid w:val="00D07F99"/>
    <w:rsid w:val="00D11E1C"/>
    <w:rsid w:val="00D1372A"/>
    <w:rsid w:val="00D160B0"/>
    <w:rsid w:val="00D17F94"/>
    <w:rsid w:val="00D21C89"/>
    <w:rsid w:val="00D223FC"/>
    <w:rsid w:val="00D26D1E"/>
    <w:rsid w:val="00D3045E"/>
    <w:rsid w:val="00D32708"/>
    <w:rsid w:val="00D32E99"/>
    <w:rsid w:val="00D338BD"/>
    <w:rsid w:val="00D34515"/>
    <w:rsid w:val="00D378DD"/>
    <w:rsid w:val="00D474CF"/>
    <w:rsid w:val="00D5547E"/>
    <w:rsid w:val="00D555B4"/>
    <w:rsid w:val="00D56CB1"/>
    <w:rsid w:val="00D63A26"/>
    <w:rsid w:val="00D67AA2"/>
    <w:rsid w:val="00D7070B"/>
    <w:rsid w:val="00D81EE4"/>
    <w:rsid w:val="00D869A1"/>
    <w:rsid w:val="00D92778"/>
    <w:rsid w:val="00D93D7D"/>
    <w:rsid w:val="00DA413F"/>
    <w:rsid w:val="00DA4584"/>
    <w:rsid w:val="00DA596D"/>
    <w:rsid w:val="00DA614B"/>
    <w:rsid w:val="00DC3060"/>
    <w:rsid w:val="00DD2F8D"/>
    <w:rsid w:val="00DE0FB2"/>
    <w:rsid w:val="00DF093E"/>
    <w:rsid w:val="00DF1812"/>
    <w:rsid w:val="00DF3CCC"/>
    <w:rsid w:val="00E01F42"/>
    <w:rsid w:val="00E13BEB"/>
    <w:rsid w:val="00E14746"/>
    <w:rsid w:val="00E16892"/>
    <w:rsid w:val="00E206D6"/>
    <w:rsid w:val="00E208B9"/>
    <w:rsid w:val="00E22895"/>
    <w:rsid w:val="00E3366E"/>
    <w:rsid w:val="00E35027"/>
    <w:rsid w:val="00E4001E"/>
    <w:rsid w:val="00E52086"/>
    <w:rsid w:val="00E52BF7"/>
    <w:rsid w:val="00E543A6"/>
    <w:rsid w:val="00E5764A"/>
    <w:rsid w:val="00E60479"/>
    <w:rsid w:val="00E61D73"/>
    <w:rsid w:val="00E67CD8"/>
    <w:rsid w:val="00E70744"/>
    <w:rsid w:val="00E70D2B"/>
    <w:rsid w:val="00E721AA"/>
    <w:rsid w:val="00E73684"/>
    <w:rsid w:val="00E77419"/>
    <w:rsid w:val="00E818D6"/>
    <w:rsid w:val="00E87F7A"/>
    <w:rsid w:val="00E917D3"/>
    <w:rsid w:val="00E94AE3"/>
    <w:rsid w:val="00E96BD7"/>
    <w:rsid w:val="00E970AD"/>
    <w:rsid w:val="00EA0DB1"/>
    <w:rsid w:val="00EA0EE9"/>
    <w:rsid w:val="00EA1241"/>
    <w:rsid w:val="00EA28B0"/>
    <w:rsid w:val="00EA795C"/>
    <w:rsid w:val="00EB1946"/>
    <w:rsid w:val="00ED4046"/>
    <w:rsid w:val="00ED52CA"/>
    <w:rsid w:val="00ED5860"/>
    <w:rsid w:val="00ED5CED"/>
    <w:rsid w:val="00EE14F2"/>
    <w:rsid w:val="00EE35C9"/>
    <w:rsid w:val="00EF003C"/>
    <w:rsid w:val="00EF0302"/>
    <w:rsid w:val="00EF09EC"/>
    <w:rsid w:val="00EF0BD0"/>
    <w:rsid w:val="00EF0E8B"/>
    <w:rsid w:val="00F05ECA"/>
    <w:rsid w:val="00F1161D"/>
    <w:rsid w:val="00F2512C"/>
    <w:rsid w:val="00F34FA7"/>
    <w:rsid w:val="00F3566E"/>
    <w:rsid w:val="00F375FB"/>
    <w:rsid w:val="00F41AC1"/>
    <w:rsid w:val="00F4367A"/>
    <w:rsid w:val="00F4396A"/>
    <w:rsid w:val="00F43E39"/>
    <w:rsid w:val="00F445B1"/>
    <w:rsid w:val="00F45CD4"/>
    <w:rsid w:val="00F466A9"/>
    <w:rsid w:val="00F47C9B"/>
    <w:rsid w:val="00F60AB4"/>
    <w:rsid w:val="00F65114"/>
    <w:rsid w:val="00F651F0"/>
    <w:rsid w:val="00F65B7A"/>
    <w:rsid w:val="00F66DCA"/>
    <w:rsid w:val="00F70B86"/>
    <w:rsid w:val="00F74F53"/>
    <w:rsid w:val="00F7606D"/>
    <w:rsid w:val="00F81670"/>
    <w:rsid w:val="00F82024"/>
    <w:rsid w:val="00F82FB6"/>
    <w:rsid w:val="00F83EB5"/>
    <w:rsid w:val="00F93A23"/>
    <w:rsid w:val="00F95BC9"/>
    <w:rsid w:val="00FA37E0"/>
    <w:rsid w:val="00FA624C"/>
    <w:rsid w:val="00FB0126"/>
    <w:rsid w:val="00FC1734"/>
    <w:rsid w:val="00FC2008"/>
    <w:rsid w:val="00FC49D8"/>
    <w:rsid w:val="00FD0FAC"/>
    <w:rsid w:val="00FD1DFA"/>
    <w:rsid w:val="00FD4966"/>
    <w:rsid w:val="00FD5396"/>
    <w:rsid w:val="00FE57DC"/>
    <w:rsid w:val="00FF4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F3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340ABA"/>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051123"/>
    <w:pPr>
      <w:spacing w:after="0"/>
    </w:pPr>
    <w:rPr>
      <w:sz w:val="20"/>
      <w:szCs w:val="20"/>
    </w:rPr>
  </w:style>
  <w:style w:type="character" w:customStyle="1" w:styleId="FootnoteTextChar">
    <w:name w:val="Footnote Text Char"/>
    <w:basedOn w:val="DefaultParagraphFont"/>
    <w:link w:val="FootnoteText"/>
    <w:rsid w:val="00051123"/>
    <w:rPr>
      <w:color w:val="000000"/>
    </w:rPr>
  </w:style>
  <w:style w:type="character" w:styleId="FootnoteReference">
    <w:name w:val="footnote reference"/>
    <w:basedOn w:val="DefaultParagraphFont"/>
    <w:rsid w:val="000511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340ABA"/>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051123"/>
    <w:pPr>
      <w:spacing w:after="0"/>
    </w:pPr>
    <w:rPr>
      <w:sz w:val="20"/>
      <w:szCs w:val="20"/>
    </w:rPr>
  </w:style>
  <w:style w:type="character" w:customStyle="1" w:styleId="FootnoteTextChar">
    <w:name w:val="Footnote Text Char"/>
    <w:basedOn w:val="DefaultParagraphFont"/>
    <w:link w:val="FootnoteText"/>
    <w:rsid w:val="00051123"/>
    <w:rPr>
      <w:color w:val="000000"/>
    </w:rPr>
  </w:style>
  <w:style w:type="character" w:styleId="FootnoteReference">
    <w:name w:val="footnote reference"/>
    <w:basedOn w:val="DefaultParagraphFont"/>
    <w:rsid w:val="00051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4976608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8901324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8155321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tomkins@oxford.gov.uk" TargetMode="External"/><Relationship Id="rId4" Type="http://schemas.microsoft.com/office/2007/relationships/stylesWithEffects" Target="stylesWithEffects.xml"/><Relationship Id="rId9" Type="http://schemas.openxmlformats.org/officeDocument/2006/relationships/hyperlink" Target="https://www.youtube.com/playlist?list=PL40HSZ84zdJYyruh2Hr7lW2CVdr5Ko62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ommunities%20and%20Neighbourhoods\Roles%20and%20Responsibilities\Grants%20and%20External%20Funding%20Officer\Grants\Grants%20Current\Grants\CEB%2009.02.17%20%20-%20recommendations%20for%202017-18%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4CAD-EE5B-4D57-AF2E-0279508A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09.02.17  - recommendations for 2017-18 V2</Template>
  <TotalTime>1</TotalTime>
  <Pages>9</Pages>
  <Words>2929</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19311</CharactersWithSpaces>
  <SharedDoc>false</SharedDoc>
  <HLinks>
    <vt:vector size="6" baseType="variant">
      <vt:variant>
        <vt:i4>3473501</vt:i4>
      </vt:variant>
      <vt:variant>
        <vt:i4>0</vt:i4>
      </vt:variant>
      <vt:variant>
        <vt:i4>0</vt:i4>
      </vt:variant>
      <vt:variant>
        <vt:i4>5</vt:i4>
      </vt:variant>
      <vt:variant>
        <vt:lpwstr>mailto:jtomkins@oxford.gov.uk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Julia.Tomkins</dc:creator>
  <cp:lastModifiedBy>JMitchell</cp:lastModifiedBy>
  <cp:revision>2</cp:revision>
  <cp:lastPrinted>2017-10-05T13:59:00Z</cp:lastPrinted>
  <dcterms:created xsi:type="dcterms:W3CDTF">2017-10-25T13:34:00Z</dcterms:created>
  <dcterms:modified xsi:type="dcterms:W3CDTF">2017-10-25T13:34:00Z</dcterms:modified>
</cp:coreProperties>
</file>